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sz w:val="22"/>
          <w:szCs w:val="22"/>
        </w:rPr>
      </w:pPr>
    </w:p>
    <w:p>
      <w:pPr>
        <w:widowControl/>
        <w:jc w:val="center"/>
        <w:rPr>
          <w:rFonts w:ascii="微软雅黑" w:hAnsi="微软雅黑" w:eastAsia="微软雅黑" w:cs="Times New Roman"/>
          <w:b/>
          <w:bCs/>
          <w:kern w:val="0"/>
          <w:sz w:val="28"/>
          <w:szCs w:val="28"/>
        </w:rPr>
      </w:pPr>
      <w:r>
        <w:rPr>
          <w:rFonts w:hint="eastAsia" w:ascii="微软雅黑" w:hAnsi="微软雅黑" w:eastAsia="微软雅黑" w:cs="Times New Roman"/>
          <w:b/>
          <w:bCs/>
          <w:kern w:val="0"/>
          <w:sz w:val="28"/>
          <w:szCs w:val="28"/>
        </w:rPr>
        <w:t>永州市回龙圩管理区</w:t>
      </w:r>
    </w:p>
    <w:p>
      <w:pPr>
        <w:widowControl/>
        <w:jc w:val="center"/>
        <w:rPr>
          <w:rFonts w:ascii="微软雅黑" w:hAnsi="微软雅黑" w:eastAsia="微软雅黑" w:cs="Times New Roman"/>
          <w:b/>
          <w:bCs/>
          <w:kern w:val="0"/>
          <w:sz w:val="28"/>
          <w:szCs w:val="28"/>
        </w:rPr>
      </w:pPr>
      <w:r>
        <w:rPr>
          <w:rFonts w:hint="eastAsia" w:ascii="微软雅黑" w:hAnsi="微软雅黑" w:eastAsia="微软雅黑" w:cs="Times New Roman"/>
          <w:b/>
          <w:bCs/>
          <w:kern w:val="0"/>
          <w:sz w:val="28"/>
          <w:szCs w:val="28"/>
        </w:rPr>
        <w:t>农业委员会</w:t>
      </w:r>
      <w:r>
        <w:rPr>
          <w:rFonts w:hint="eastAsia" w:ascii="微软雅黑" w:hAnsi="微软雅黑" w:eastAsia="微软雅黑"/>
          <w:b/>
          <w:bCs/>
          <w:kern w:val="0"/>
          <w:sz w:val="28"/>
          <w:szCs w:val="28"/>
        </w:rPr>
        <w:t>2021</w:t>
      </w:r>
      <w:r>
        <w:rPr>
          <w:rFonts w:ascii="微软雅黑" w:hAnsi="微软雅黑" w:eastAsia="微软雅黑" w:cs="Times New Roman"/>
          <w:b/>
          <w:bCs/>
          <w:kern w:val="0"/>
          <w:sz w:val="28"/>
          <w:szCs w:val="28"/>
        </w:rPr>
        <w:t>年</w:t>
      </w:r>
      <w:r>
        <w:rPr>
          <w:rFonts w:hint="eastAsia" w:ascii="微软雅黑" w:hAnsi="微软雅黑" w:eastAsia="微软雅黑" w:cs="Times New Roman"/>
          <w:b/>
          <w:bCs/>
          <w:kern w:val="0"/>
          <w:sz w:val="28"/>
          <w:szCs w:val="28"/>
        </w:rPr>
        <w:t>度</w:t>
      </w:r>
      <w:r>
        <w:rPr>
          <w:rFonts w:ascii="微软雅黑" w:hAnsi="微软雅黑" w:eastAsia="微软雅黑" w:cs="Times New Roman"/>
          <w:b/>
          <w:bCs/>
          <w:kern w:val="0"/>
          <w:sz w:val="28"/>
          <w:szCs w:val="28"/>
        </w:rPr>
        <w:t>部门</w:t>
      </w:r>
      <w:r>
        <w:rPr>
          <w:rFonts w:hint="eastAsia" w:ascii="微软雅黑" w:hAnsi="微软雅黑" w:eastAsia="微软雅黑" w:cs="Times New Roman"/>
          <w:b/>
          <w:bCs/>
          <w:kern w:val="0"/>
          <w:sz w:val="28"/>
          <w:szCs w:val="28"/>
        </w:rPr>
        <w:t>决算公开</w:t>
      </w:r>
    </w:p>
    <w:p>
      <w:pPr>
        <w:widowControl/>
        <w:spacing w:line="600" w:lineRule="exact"/>
        <w:rPr>
          <w:rFonts w:ascii="微软雅黑" w:hAnsi="微软雅黑" w:eastAsia="微软雅黑"/>
          <w:b/>
          <w:bCs/>
          <w:kern w:val="0"/>
          <w:sz w:val="22"/>
        </w:rPr>
      </w:pPr>
      <w:r>
        <w:rPr>
          <w:rFonts w:hint="eastAsia" w:ascii="Calibri" w:hAnsi="Calibri" w:eastAsia="宋体" w:cs="Times New Roman"/>
          <w:b/>
          <w:bCs/>
          <w:kern w:val="0"/>
          <w:sz w:val="22"/>
        </w:rPr>
        <w:t xml:space="preserve">  </w:t>
      </w:r>
      <w:r>
        <w:rPr>
          <w:rFonts w:hint="eastAsia" w:ascii="微软雅黑" w:hAnsi="微软雅黑" w:eastAsia="微软雅黑" w:cs="Times New Roman"/>
          <w:b/>
          <w:bCs/>
          <w:kern w:val="0"/>
          <w:sz w:val="22"/>
        </w:rPr>
        <w:t xml:space="preserve"> </w:t>
      </w:r>
      <w:r>
        <w:rPr>
          <w:rFonts w:ascii="微软雅黑" w:hAnsi="微软雅黑" w:eastAsia="微软雅黑"/>
          <w:b/>
          <w:bCs/>
          <w:kern w:val="0"/>
          <w:sz w:val="22"/>
        </w:rPr>
        <w:t>目</w:t>
      </w:r>
      <w:r>
        <w:rPr>
          <w:rFonts w:hint="eastAsia" w:ascii="微软雅黑" w:hAnsi="微软雅黑" w:eastAsia="微软雅黑"/>
          <w:b/>
          <w:bCs/>
          <w:kern w:val="0"/>
          <w:sz w:val="22"/>
        </w:rPr>
        <w:t xml:space="preserve"> </w:t>
      </w:r>
      <w:r>
        <w:rPr>
          <w:rFonts w:ascii="微软雅黑" w:hAnsi="微软雅黑" w:eastAsia="微软雅黑"/>
          <w:b/>
          <w:bCs/>
          <w:kern w:val="0"/>
          <w:sz w:val="22"/>
        </w:rPr>
        <w:t xml:space="preserve"> 录</w:t>
      </w:r>
    </w:p>
    <w:p>
      <w:pPr>
        <w:widowControl/>
        <w:spacing w:line="600" w:lineRule="exact"/>
        <w:ind w:firstLine="440" w:firstLineChars="200"/>
        <w:rPr>
          <w:rFonts w:ascii="微软雅黑" w:hAnsi="微软雅黑" w:eastAsia="微软雅黑"/>
          <w:b/>
          <w:bCs/>
          <w:kern w:val="0"/>
          <w:sz w:val="22"/>
        </w:rPr>
      </w:pPr>
      <w:r>
        <w:rPr>
          <w:rFonts w:ascii="微软雅黑" w:hAnsi="微软雅黑" w:eastAsia="微软雅黑"/>
          <w:b/>
          <w:bCs/>
          <w:kern w:val="0"/>
          <w:sz w:val="22"/>
        </w:rPr>
        <w:t xml:space="preserve">第一部分 </w:t>
      </w:r>
      <w:r>
        <w:rPr>
          <w:rFonts w:hint="eastAsia" w:ascii="微软雅黑" w:hAnsi="微软雅黑" w:eastAsia="微软雅黑"/>
          <w:b/>
          <w:bCs/>
          <w:kern w:val="0"/>
          <w:sz w:val="22"/>
        </w:rPr>
        <w:t>永州市回龙圩管理区农业委员会</w:t>
      </w:r>
      <w:r>
        <w:rPr>
          <w:rFonts w:ascii="微软雅黑" w:hAnsi="微软雅黑" w:eastAsia="微软雅黑"/>
          <w:b/>
          <w:bCs/>
          <w:kern w:val="0"/>
          <w:sz w:val="22"/>
        </w:rPr>
        <w:t>概况</w:t>
      </w:r>
    </w:p>
    <w:p>
      <w:pPr>
        <w:pStyle w:val="12"/>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1、部门职责</w:t>
      </w:r>
    </w:p>
    <w:p>
      <w:pPr>
        <w:pStyle w:val="12"/>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2、机构设置</w:t>
      </w:r>
    </w:p>
    <w:p>
      <w:pPr>
        <w:widowControl/>
        <w:spacing w:line="600" w:lineRule="exact"/>
        <w:ind w:firstLine="440" w:firstLineChars="200"/>
        <w:jc w:val="left"/>
        <w:rPr>
          <w:rFonts w:ascii="微软雅黑" w:hAnsi="微软雅黑" w:eastAsia="微软雅黑"/>
          <w:b/>
          <w:bCs/>
          <w:kern w:val="0"/>
          <w:sz w:val="22"/>
        </w:rPr>
      </w:pPr>
      <w:r>
        <w:rPr>
          <w:rFonts w:ascii="微软雅黑" w:hAnsi="微软雅黑" w:eastAsia="微软雅黑"/>
          <w:b/>
          <w:bCs/>
          <w:kern w:val="0"/>
          <w:sz w:val="22"/>
        </w:rPr>
        <w:t>第二部分</w:t>
      </w:r>
      <w:r>
        <w:rPr>
          <w:rFonts w:hint="eastAsia" w:ascii="微软雅黑" w:hAnsi="微软雅黑" w:eastAsia="微软雅黑"/>
          <w:b/>
          <w:bCs/>
          <w:kern w:val="0"/>
          <w:sz w:val="22"/>
        </w:rPr>
        <w:t>2021年</w:t>
      </w:r>
      <w:r>
        <w:rPr>
          <w:rFonts w:ascii="微软雅黑" w:hAnsi="微软雅黑" w:eastAsia="微软雅黑"/>
          <w:b/>
          <w:bCs/>
          <w:kern w:val="0"/>
          <w:sz w:val="22"/>
        </w:rPr>
        <w:t>部门决算表</w:t>
      </w:r>
    </w:p>
    <w:p>
      <w:pPr>
        <w:pStyle w:val="12"/>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1、</w:t>
      </w:r>
      <w:r>
        <w:rPr>
          <w:rFonts w:hint="eastAsia" w:ascii="微软雅黑" w:hAnsi="微软雅黑" w:eastAsia="微软雅黑" w:cs="Times New Roman"/>
          <w:sz w:val="22"/>
          <w:szCs w:val="22"/>
        </w:rPr>
        <w:t>部门收支</w:t>
      </w:r>
      <w:r>
        <w:rPr>
          <w:rFonts w:ascii="微软雅黑" w:hAnsi="微软雅黑" w:eastAsia="微软雅黑" w:cs="Times New Roman"/>
          <w:sz w:val="22"/>
          <w:szCs w:val="22"/>
        </w:rPr>
        <w:t>决算总表</w:t>
      </w:r>
    </w:p>
    <w:p>
      <w:pPr>
        <w:pStyle w:val="12"/>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2、</w:t>
      </w:r>
      <w:r>
        <w:rPr>
          <w:rFonts w:hint="eastAsia" w:ascii="微软雅黑" w:hAnsi="微软雅黑" w:eastAsia="微软雅黑" w:cs="Times New Roman"/>
          <w:sz w:val="22"/>
          <w:szCs w:val="22"/>
        </w:rPr>
        <w:t>部门</w:t>
      </w:r>
      <w:r>
        <w:rPr>
          <w:rFonts w:ascii="微软雅黑" w:hAnsi="微软雅黑" w:eastAsia="微软雅黑" w:cs="Times New Roman"/>
          <w:sz w:val="22"/>
          <w:szCs w:val="22"/>
        </w:rPr>
        <w:t>收入决算表</w:t>
      </w:r>
    </w:p>
    <w:p>
      <w:pPr>
        <w:pStyle w:val="12"/>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3、</w:t>
      </w:r>
      <w:r>
        <w:rPr>
          <w:rFonts w:hint="eastAsia" w:ascii="微软雅黑" w:hAnsi="微软雅黑" w:eastAsia="微软雅黑" w:cs="Times New Roman"/>
          <w:sz w:val="22"/>
          <w:szCs w:val="22"/>
        </w:rPr>
        <w:t>部门</w:t>
      </w:r>
      <w:r>
        <w:rPr>
          <w:rFonts w:ascii="微软雅黑" w:hAnsi="微软雅黑" w:eastAsia="微软雅黑" w:cs="Times New Roman"/>
          <w:sz w:val="22"/>
          <w:szCs w:val="22"/>
        </w:rPr>
        <w:t>支出决算表</w:t>
      </w:r>
    </w:p>
    <w:p>
      <w:pPr>
        <w:pStyle w:val="12"/>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4、财政拨款</w:t>
      </w:r>
      <w:r>
        <w:rPr>
          <w:rFonts w:hint="eastAsia" w:ascii="微软雅黑" w:hAnsi="微软雅黑" w:eastAsia="微软雅黑" w:cs="Times New Roman"/>
          <w:sz w:val="22"/>
          <w:szCs w:val="22"/>
        </w:rPr>
        <w:t>收支</w:t>
      </w:r>
      <w:r>
        <w:rPr>
          <w:rFonts w:ascii="微软雅黑" w:hAnsi="微软雅黑" w:eastAsia="微软雅黑" w:cs="Times New Roman"/>
          <w:sz w:val="22"/>
          <w:szCs w:val="22"/>
        </w:rPr>
        <w:t>决算总表</w:t>
      </w:r>
    </w:p>
    <w:p>
      <w:pPr>
        <w:pStyle w:val="12"/>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5、一般公共预算财政拨款支出决算表</w:t>
      </w:r>
    </w:p>
    <w:p>
      <w:pPr>
        <w:pStyle w:val="12"/>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6、一般公共预算财政拨款基本支出决算表</w:t>
      </w:r>
    </w:p>
    <w:p>
      <w:pPr>
        <w:pStyle w:val="12"/>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7、一般公共预算财政拨款“三公”经费支出决算表</w:t>
      </w:r>
    </w:p>
    <w:p>
      <w:pPr>
        <w:pStyle w:val="12"/>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8、政府性基金预算财政拨款收入支出决算表</w:t>
      </w:r>
    </w:p>
    <w:p>
      <w:pPr>
        <w:pStyle w:val="12"/>
        <w:spacing w:line="600" w:lineRule="exact"/>
        <w:ind w:firstLine="550" w:firstLineChars="250"/>
        <w:rPr>
          <w:rFonts w:ascii="微软雅黑" w:hAnsi="微软雅黑" w:eastAsia="微软雅黑" w:cs="Times New Roman"/>
          <w:sz w:val="22"/>
          <w:szCs w:val="22"/>
        </w:rPr>
      </w:pPr>
      <w:r>
        <w:rPr>
          <w:rFonts w:hint="eastAsia" w:ascii="微软雅黑" w:hAnsi="微软雅黑" w:eastAsia="微软雅黑" w:cs="Times New Roman"/>
          <w:sz w:val="22"/>
          <w:szCs w:val="22"/>
        </w:rPr>
        <w:t>9</w:t>
      </w:r>
      <w:r>
        <w:rPr>
          <w:rFonts w:ascii="微软雅黑" w:hAnsi="微软雅黑" w:eastAsia="微软雅黑" w:cs="Times New Roman"/>
          <w:sz w:val="22"/>
          <w:szCs w:val="22"/>
        </w:rPr>
        <w:t>、</w:t>
      </w:r>
      <w:r>
        <w:rPr>
          <w:rFonts w:hint="eastAsia" w:ascii="微软雅黑" w:hAnsi="微软雅黑" w:eastAsia="微软雅黑" w:cs="Times New Roman"/>
          <w:sz w:val="22"/>
          <w:szCs w:val="22"/>
        </w:rPr>
        <w:t>国有资本经营预算财政拨款支出决算表</w:t>
      </w:r>
    </w:p>
    <w:p>
      <w:pPr>
        <w:widowControl/>
        <w:spacing w:line="600" w:lineRule="exact"/>
        <w:ind w:firstLine="440" w:firstLineChars="200"/>
        <w:jc w:val="left"/>
        <w:rPr>
          <w:rFonts w:ascii="微软雅黑" w:hAnsi="微软雅黑" w:eastAsia="微软雅黑"/>
          <w:b/>
          <w:bCs/>
          <w:kern w:val="0"/>
          <w:sz w:val="22"/>
        </w:rPr>
      </w:pPr>
      <w:r>
        <w:rPr>
          <w:rFonts w:ascii="微软雅黑" w:hAnsi="微软雅黑" w:eastAsia="微软雅黑"/>
          <w:b/>
          <w:bCs/>
          <w:kern w:val="0"/>
          <w:sz w:val="22"/>
        </w:rPr>
        <w:t>第三部分</w:t>
      </w:r>
      <w:r>
        <w:rPr>
          <w:rFonts w:hint="eastAsia" w:ascii="微软雅黑" w:hAnsi="微软雅黑" w:eastAsia="微软雅黑"/>
          <w:b/>
          <w:bCs/>
          <w:kern w:val="0"/>
          <w:sz w:val="22"/>
        </w:rPr>
        <w:t xml:space="preserve"> 2021</w:t>
      </w:r>
      <w:r>
        <w:rPr>
          <w:rFonts w:ascii="微软雅黑" w:hAnsi="微软雅黑" w:eastAsia="微软雅黑"/>
          <w:b/>
          <w:bCs/>
          <w:kern w:val="0"/>
          <w:sz w:val="22"/>
        </w:rPr>
        <w:t>年度部门决算情况说明</w:t>
      </w:r>
    </w:p>
    <w:p>
      <w:pPr>
        <w:pStyle w:val="12"/>
        <w:spacing w:line="600" w:lineRule="exact"/>
        <w:ind w:firstLine="550" w:firstLineChars="250"/>
        <w:rPr>
          <w:rFonts w:ascii="微软雅黑" w:hAnsi="微软雅黑" w:eastAsia="微软雅黑" w:cs="Times New Roman"/>
          <w:sz w:val="22"/>
          <w:szCs w:val="22"/>
        </w:rPr>
      </w:pPr>
      <w:r>
        <w:rPr>
          <w:rFonts w:ascii="微软雅黑" w:hAnsi="微软雅黑" w:eastAsia="微软雅黑" w:cs="Times New Roman"/>
          <w:sz w:val="22"/>
          <w:szCs w:val="22"/>
        </w:rPr>
        <w:t>1、收入支出决算总体情况说明</w:t>
      </w:r>
    </w:p>
    <w:p>
      <w:pPr>
        <w:spacing w:line="600" w:lineRule="exact"/>
        <w:ind w:firstLine="550" w:firstLineChars="250"/>
        <w:jc w:val="left"/>
        <w:rPr>
          <w:rFonts w:ascii="微软雅黑" w:hAnsi="微软雅黑" w:eastAsia="微软雅黑"/>
          <w:sz w:val="22"/>
        </w:rPr>
      </w:pPr>
      <w:r>
        <w:rPr>
          <w:rFonts w:ascii="微软雅黑" w:hAnsi="微软雅黑" w:eastAsia="微软雅黑"/>
          <w:sz w:val="22"/>
        </w:rPr>
        <w:t>2、收入决算情况说明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ascii="微软雅黑" w:hAnsi="微软雅黑" w:eastAsia="微软雅黑"/>
          <w:color w:val="000000"/>
          <w:kern w:val="0"/>
          <w:sz w:val="22"/>
        </w:rPr>
        <w:t>3、支出决算情况说明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ascii="微软雅黑" w:hAnsi="微软雅黑" w:eastAsia="微软雅黑"/>
          <w:color w:val="000000"/>
          <w:kern w:val="0"/>
          <w:sz w:val="22"/>
        </w:rPr>
        <w:t>4、财政拨款收入支出决算总体情况说明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ascii="微软雅黑" w:hAnsi="微软雅黑" w:eastAsia="微软雅黑"/>
          <w:color w:val="000000"/>
          <w:kern w:val="0"/>
          <w:sz w:val="22"/>
        </w:rPr>
        <w:t>5、一般公共预算财政拨款支出决算情况说明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ascii="微软雅黑" w:hAnsi="微软雅黑" w:eastAsia="微软雅黑"/>
          <w:color w:val="000000"/>
          <w:kern w:val="0"/>
          <w:sz w:val="22"/>
        </w:rPr>
        <w:t>6、一般公共预算财政拨款基本支出决算情况说明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ascii="微软雅黑" w:hAnsi="微软雅黑" w:eastAsia="微软雅黑"/>
          <w:color w:val="000000"/>
          <w:kern w:val="0"/>
          <w:sz w:val="22"/>
        </w:rPr>
        <w:t>7、一般公共预算财政拨款三公经费支出决算情况说明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ascii="微软雅黑" w:hAnsi="微软雅黑" w:eastAsia="微软雅黑"/>
          <w:color w:val="000000"/>
          <w:kern w:val="0"/>
          <w:sz w:val="22"/>
        </w:rPr>
        <w:t>8、政府性基金预算收入支出决算情况</w:t>
      </w:r>
      <w:r>
        <w:rPr>
          <w:rFonts w:hint="eastAsia" w:ascii="微软雅黑" w:hAnsi="微软雅黑" w:eastAsia="微软雅黑"/>
          <w:color w:val="000000"/>
          <w:kern w:val="0"/>
          <w:sz w:val="22"/>
        </w:rPr>
        <w:t>说明</w:t>
      </w:r>
    </w:p>
    <w:p>
      <w:pPr>
        <w:pStyle w:val="12"/>
        <w:spacing w:line="600" w:lineRule="exact"/>
        <w:ind w:firstLine="550" w:firstLineChars="250"/>
        <w:rPr>
          <w:rFonts w:ascii="微软雅黑" w:hAnsi="微软雅黑" w:eastAsia="微软雅黑" w:cs="Times New Roman"/>
          <w:sz w:val="22"/>
          <w:szCs w:val="22"/>
        </w:rPr>
      </w:pPr>
      <w:r>
        <w:rPr>
          <w:rFonts w:hint="eastAsia" w:ascii="微软雅黑" w:hAnsi="微软雅黑" w:eastAsia="微软雅黑" w:cs="Times New Roman"/>
          <w:sz w:val="22"/>
          <w:szCs w:val="22"/>
        </w:rPr>
        <w:t>9</w:t>
      </w:r>
      <w:r>
        <w:rPr>
          <w:rFonts w:ascii="微软雅黑" w:hAnsi="微软雅黑" w:eastAsia="微软雅黑" w:cs="Times New Roman"/>
          <w:sz w:val="22"/>
          <w:szCs w:val="22"/>
        </w:rPr>
        <w:t>、</w:t>
      </w:r>
      <w:r>
        <w:rPr>
          <w:rFonts w:hint="eastAsia" w:ascii="微软雅黑" w:hAnsi="微软雅黑" w:eastAsia="微软雅黑" w:cs="Times New Roman"/>
          <w:sz w:val="22"/>
          <w:szCs w:val="22"/>
        </w:rPr>
        <w:t>国有资本经营预算财政拨款支出决算情况说明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hint="eastAsia" w:ascii="微软雅黑" w:hAnsi="微软雅黑" w:eastAsia="微软雅黑"/>
          <w:color w:val="000000"/>
          <w:kern w:val="0"/>
          <w:sz w:val="22"/>
        </w:rPr>
        <w:t>10</w:t>
      </w:r>
      <w:r>
        <w:rPr>
          <w:rFonts w:ascii="微软雅黑" w:hAnsi="微软雅黑" w:eastAsia="微软雅黑"/>
          <w:color w:val="000000"/>
          <w:kern w:val="0"/>
          <w:sz w:val="22"/>
        </w:rPr>
        <w:t>、预算绩效情况说明</w:t>
      </w:r>
    </w:p>
    <w:p>
      <w:pPr>
        <w:autoSpaceDE w:val="0"/>
        <w:autoSpaceDN w:val="0"/>
        <w:adjustRightInd w:val="0"/>
        <w:spacing w:line="600" w:lineRule="exact"/>
        <w:ind w:firstLine="550" w:firstLineChars="250"/>
        <w:jc w:val="left"/>
        <w:rPr>
          <w:rFonts w:ascii="微软雅黑" w:hAnsi="微软雅黑" w:eastAsia="微软雅黑"/>
          <w:color w:val="000000"/>
          <w:kern w:val="0"/>
          <w:sz w:val="22"/>
        </w:rPr>
      </w:pPr>
      <w:r>
        <w:rPr>
          <w:rFonts w:hint="eastAsia" w:ascii="微软雅黑" w:hAnsi="微软雅黑" w:eastAsia="微软雅黑"/>
          <w:color w:val="000000"/>
          <w:kern w:val="0"/>
          <w:sz w:val="22"/>
        </w:rPr>
        <w:t>11</w:t>
      </w:r>
      <w:r>
        <w:rPr>
          <w:rFonts w:ascii="微软雅黑" w:hAnsi="微软雅黑" w:eastAsia="微软雅黑"/>
          <w:color w:val="000000"/>
          <w:kern w:val="0"/>
          <w:sz w:val="22"/>
        </w:rPr>
        <w:t>、其他重要事项情况说明</w:t>
      </w:r>
    </w:p>
    <w:p>
      <w:pPr>
        <w:widowControl/>
        <w:spacing w:line="600" w:lineRule="exact"/>
        <w:ind w:firstLine="440" w:firstLineChars="200"/>
        <w:jc w:val="left"/>
        <w:rPr>
          <w:rFonts w:ascii="微软雅黑" w:hAnsi="微软雅黑" w:eastAsia="微软雅黑"/>
          <w:b/>
          <w:bCs/>
          <w:kern w:val="0"/>
          <w:sz w:val="22"/>
        </w:rPr>
      </w:pPr>
      <w:r>
        <w:rPr>
          <w:rFonts w:ascii="微软雅黑" w:hAnsi="微软雅黑" w:eastAsia="微软雅黑"/>
          <w:b/>
          <w:bCs/>
          <w:kern w:val="0"/>
          <w:sz w:val="22"/>
        </w:rPr>
        <w:t>第四部分</w:t>
      </w:r>
      <w:r>
        <w:rPr>
          <w:rFonts w:hint="eastAsia" w:ascii="微软雅黑" w:hAnsi="微软雅黑" w:eastAsia="微软雅黑"/>
          <w:b/>
          <w:bCs/>
          <w:kern w:val="0"/>
          <w:sz w:val="22"/>
        </w:rPr>
        <w:t xml:space="preserve"> </w:t>
      </w:r>
      <w:r>
        <w:rPr>
          <w:rFonts w:ascii="微软雅黑" w:hAnsi="微软雅黑" w:eastAsia="微软雅黑"/>
          <w:b/>
          <w:bCs/>
          <w:kern w:val="0"/>
          <w:sz w:val="22"/>
        </w:rPr>
        <w:t>名词解释</w:t>
      </w:r>
    </w:p>
    <w:p>
      <w:pPr>
        <w:widowControl/>
        <w:spacing w:line="600" w:lineRule="exact"/>
        <w:ind w:firstLine="440" w:firstLineChars="200"/>
        <w:jc w:val="left"/>
        <w:rPr>
          <w:rFonts w:ascii="微软雅黑" w:hAnsi="微软雅黑" w:eastAsia="微软雅黑"/>
          <w:color w:val="000000"/>
          <w:kern w:val="0"/>
          <w:sz w:val="22"/>
        </w:rPr>
      </w:pPr>
      <w:r>
        <w:rPr>
          <w:rFonts w:hint="eastAsia" w:ascii="微软雅黑" w:hAnsi="微软雅黑" w:eastAsia="微软雅黑"/>
          <w:color w:val="000000"/>
          <w:kern w:val="0"/>
          <w:sz w:val="22"/>
        </w:rPr>
        <w:t>财政拨款收入</w:t>
      </w:r>
    </w:p>
    <w:p>
      <w:pPr>
        <w:widowControl/>
        <w:spacing w:line="600" w:lineRule="exact"/>
        <w:ind w:firstLine="440" w:firstLineChars="200"/>
        <w:jc w:val="left"/>
        <w:rPr>
          <w:rFonts w:ascii="微软雅黑" w:hAnsi="微软雅黑" w:eastAsia="微软雅黑"/>
          <w:color w:val="000000"/>
          <w:kern w:val="0"/>
          <w:sz w:val="22"/>
        </w:rPr>
      </w:pPr>
      <w:r>
        <w:rPr>
          <w:rFonts w:hint="eastAsia" w:ascii="微软雅黑" w:hAnsi="微软雅黑" w:eastAsia="微软雅黑"/>
          <w:color w:val="000000"/>
          <w:kern w:val="0"/>
          <w:sz w:val="22"/>
        </w:rPr>
        <w:t>事业收入</w:t>
      </w:r>
    </w:p>
    <w:p>
      <w:pPr>
        <w:widowControl/>
        <w:spacing w:line="600" w:lineRule="exact"/>
        <w:ind w:firstLine="440" w:firstLineChars="200"/>
        <w:jc w:val="left"/>
        <w:rPr>
          <w:rFonts w:ascii="微软雅黑" w:hAnsi="微软雅黑" w:eastAsia="微软雅黑"/>
          <w:color w:val="000000"/>
          <w:kern w:val="0"/>
          <w:sz w:val="22"/>
        </w:rPr>
      </w:pPr>
      <w:r>
        <w:rPr>
          <w:rFonts w:hint="eastAsia" w:ascii="微软雅黑" w:hAnsi="微软雅黑" w:eastAsia="微软雅黑"/>
          <w:color w:val="000000"/>
          <w:kern w:val="0"/>
          <w:sz w:val="22"/>
        </w:rPr>
        <w:t>其他收入</w:t>
      </w:r>
    </w:p>
    <w:p>
      <w:pPr>
        <w:widowControl/>
        <w:spacing w:line="600" w:lineRule="exact"/>
        <w:ind w:firstLine="440" w:firstLineChars="200"/>
        <w:jc w:val="left"/>
        <w:rPr>
          <w:rFonts w:ascii="微软雅黑" w:hAnsi="微软雅黑" w:eastAsia="微软雅黑"/>
          <w:color w:val="000000"/>
          <w:kern w:val="0"/>
          <w:sz w:val="22"/>
        </w:rPr>
      </w:pPr>
      <w:r>
        <w:rPr>
          <w:rFonts w:hint="eastAsia" w:ascii="微软雅黑" w:hAnsi="微软雅黑" w:eastAsia="微软雅黑"/>
          <w:color w:val="000000"/>
          <w:kern w:val="0"/>
          <w:sz w:val="22"/>
        </w:rPr>
        <w:t>年初结转和结余</w:t>
      </w:r>
    </w:p>
    <w:p>
      <w:pPr>
        <w:widowControl/>
        <w:spacing w:line="600" w:lineRule="exact"/>
        <w:ind w:firstLine="440" w:firstLineChars="200"/>
        <w:jc w:val="left"/>
        <w:rPr>
          <w:rFonts w:ascii="微软雅黑" w:hAnsi="微软雅黑" w:eastAsia="微软雅黑"/>
          <w:color w:val="000000"/>
          <w:kern w:val="0"/>
          <w:sz w:val="22"/>
        </w:rPr>
      </w:pPr>
      <w:r>
        <w:rPr>
          <w:rFonts w:hint="eastAsia" w:ascii="微软雅黑" w:hAnsi="微软雅黑" w:eastAsia="微软雅黑"/>
          <w:color w:val="000000"/>
          <w:kern w:val="0"/>
          <w:sz w:val="22"/>
        </w:rPr>
        <w:t>年未结转和结余</w:t>
      </w:r>
    </w:p>
    <w:p>
      <w:pPr>
        <w:widowControl/>
        <w:spacing w:line="600" w:lineRule="exact"/>
        <w:ind w:firstLine="440" w:firstLineChars="200"/>
        <w:jc w:val="left"/>
        <w:rPr>
          <w:rFonts w:ascii="微软雅黑" w:hAnsi="微软雅黑" w:eastAsia="微软雅黑"/>
          <w:color w:val="000000"/>
          <w:kern w:val="0"/>
          <w:sz w:val="22"/>
        </w:rPr>
      </w:pPr>
      <w:r>
        <w:rPr>
          <w:rFonts w:hint="eastAsia" w:ascii="微软雅黑" w:hAnsi="微软雅黑" w:eastAsia="微软雅黑"/>
          <w:color w:val="000000"/>
          <w:kern w:val="0"/>
          <w:sz w:val="22"/>
        </w:rPr>
        <w:t>基本支出</w:t>
      </w:r>
    </w:p>
    <w:p>
      <w:pPr>
        <w:widowControl/>
        <w:spacing w:line="600" w:lineRule="exact"/>
        <w:ind w:firstLine="440" w:firstLineChars="200"/>
        <w:jc w:val="left"/>
        <w:rPr>
          <w:rFonts w:ascii="微软雅黑" w:hAnsi="微软雅黑" w:eastAsia="微软雅黑"/>
          <w:color w:val="000000"/>
          <w:kern w:val="0"/>
          <w:sz w:val="22"/>
        </w:rPr>
      </w:pPr>
      <w:r>
        <w:rPr>
          <w:rFonts w:hint="eastAsia" w:ascii="微软雅黑" w:hAnsi="微软雅黑" w:eastAsia="微软雅黑"/>
          <w:color w:val="000000"/>
          <w:kern w:val="0"/>
          <w:sz w:val="22"/>
        </w:rPr>
        <w:t>项目支出</w:t>
      </w:r>
    </w:p>
    <w:p>
      <w:pPr>
        <w:widowControl/>
        <w:spacing w:line="600" w:lineRule="exact"/>
        <w:ind w:firstLine="440" w:firstLineChars="200"/>
        <w:jc w:val="left"/>
        <w:rPr>
          <w:rFonts w:ascii="微软雅黑" w:hAnsi="微软雅黑" w:eastAsia="微软雅黑"/>
          <w:b/>
          <w:bCs/>
          <w:kern w:val="0"/>
          <w:sz w:val="22"/>
        </w:rPr>
      </w:pPr>
      <w:r>
        <w:rPr>
          <w:rFonts w:ascii="微软雅黑" w:hAnsi="微软雅黑" w:eastAsia="微软雅黑"/>
          <w:b/>
          <w:bCs/>
          <w:kern w:val="0"/>
          <w:sz w:val="22"/>
        </w:rPr>
        <w:t>第五部分</w:t>
      </w:r>
      <w:r>
        <w:rPr>
          <w:rFonts w:hint="eastAsia" w:ascii="微软雅黑" w:hAnsi="微软雅黑" w:eastAsia="微软雅黑"/>
          <w:b/>
          <w:bCs/>
          <w:kern w:val="0"/>
          <w:sz w:val="22"/>
        </w:rPr>
        <w:t xml:space="preserve"> </w:t>
      </w:r>
      <w:r>
        <w:rPr>
          <w:rFonts w:ascii="微软雅黑" w:hAnsi="微软雅黑" w:eastAsia="微软雅黑"/>
          <w:b/>
          <w:bCs/>
          <w:kern w:val="0"/>
          <w:sz w:val="22"/>
        </w:rPr>
        <w:t>附件</w:t>
      </w:r>
    </w:p>
    <w:p>
      <w:pPr>
        <w:widowControl/>
        <w:spacing w:line="600" w:lineRule="exact"/>
        <w:ind w:firstLine="440" w:firstLineChars="200"/>
        <w:jc w:val="left"/>
        <w:rPr>
          <w:rFonts w:ascii="微软雅黑" w:hAnsi="微软雅黑" w:eastAsia="微软雅黑"/>
          <w:color w:val="000000"/>
          <w:kern w:val="0"/>
          <w:sz w:val="22"/>
        </w:rPr>
      </w:pPr>
      <w:r>
        <w:rPr>
          <w:rFonts w:hint="eastAsia" w:ascii="微软雅黑" w:hAnsi="微软雅黑" w:eastAsia="微软雅黑"/>
          <w:color w:val="000000"/>
          <w:kern w:val="0"/>
          <w:sz w:val="22"/>
        </w:rPr>
        <w:t>2021年部门整体绩效评价报告</w:t>
      </w:r>
    </w:p>
    <w:p>
      <w:pPr>
        <w:pStyle w:val="12"/>
        <w:rPr>
          <w:sz w:val="22"/>
          <w:szCs w:val="22"/>
        </w:rPr>
      </w:pPr>
    </w:p>
    <w:p>
      <w:pPr>
        <w:widowControl/>
        <w:spacing w:line="600" w:lineRule="exact"/>
        <w:ind w:firstLine="220" w:firstLineChars="100"/>
        <w:rPr>
          <w:rFonts w:ascii="微软雅黑" w:hAnsi="微软雅黑" w:eastAsia="微软雅黑"/>
          <w:b/>
          <w:bCs/>
          <w:kern w:val="0"/>
          <w:sz w:val="22"/>
        </w:rPr>
      </w:pPr>
      <w:r>
        <w:rPr>
          <w:rFonts w:hint="eastAsia" w:ascii="微软雅黑" w:hAnsi="微软雅黑" w:eastAsia="微软雅黑"/>
          <w:b/>
          <w:bCs/>
          <w:kern w:val="0"/>
          <w:sz w:val="22"/>
        </w:rPr>
        <w:t>第一部分 永州市回龙圩管理区农业委员会概况</w:t>
      </w:r>
    </w:p>
    <w:p>
      <w:pPr>
        <w:pStyle w:val="13"/>
        <w:widowControl/>
        <w:numPr>
          <w:ilvl w:val="0"/>
          <w:numId w:val="1"/>
        </w:numPr>
        <w:spacing w:line="600" w:lineRule="exact"/>
        <w:ind w:firstLineChars="0"/>
        <w:rPr>
          <w:rFonts w:ascii="微软雅黑" w:hAnsi="微软雅黑" w:eastAsia="微软雅黑"/>
          <w:b/>
          <w:bCs/>
          <w:kern w:val="0"/>
          <w:sz w:val="22"/>
        </w:rPr>
      </w:pPr>
      <w:r>
        <w:rPr>
          <w:rFonts w:hint="eastAsia" w:ascii="微软雅黑" w:hAnsi="微软雅黑" w:eastAsia="微软雅黑"/>
          <w:b/>
          <w:bCs/>
          <w:kern w:val="0"/>
          <w:sz w:val="22"/>
        </w:rPr>
        <w:t>部门职责</w:t>
      </w:r>
    </w:p>
    <w:p>
      <w:pPr>
        <w:pStyle w:val="13"/>
        <w:widowControl/>
        <w:numPr>
          <w:ilvl w:val="0"/>
          <w:numId w:val="2"/>
        </w:numPr>
        <w:spacing w:line="600" w:lineRule="exact"/>
        <w:ind w:firstLineChars="0"/>
        <w:rPr>
          <w:rFonts w:ascii="微软雅黑" w:hAnsi="微软雅黑" w:eastAsia="微软雅黑"/>
          <w:b/>
          <w:bCs/>
          <w:kern w:val="0"/>
          <w:sz w:val="22"/>
        </w:rPr>
      </w:pPr>
      <w:r>
        <w:rPr>
          <w:rFonts w:hint="eastAsia" w:ascii="微软雅黑" w:hAnsi="微软雅黑" w:eastAsia="微软雅黑"/>
          <w:b/>
          <w:bCs/>
          <w:kern w:val="0"/>
          <w:sz w:val="22"/>
        </w:rPr>
        <w:t>农业委员会部门职责任职下</w:t>
      </w:r>
    </w:p>
    <w:p>
      <w:pPr>
        <w:widowControl/>
        <w:shd w:val="clear" w:color="auto" w:fill="FFFFFF"/>
        <w:spacing w:line="600" w:lineRule="exact"/>
        <w:jc w:val="left"/>
        <w:rPr>
          <w:rFonts w:ascii="微软雅黑" w:hAnsi="微软雅黑" w:eastAsia="微软雅黑"/>
          <w:sz w:val="22"/>
        </w:rPr>
      </w:pPr>
      <w:r>
        <w:rPr>
          <w:rFonts w:hint="eastAsia" w:ascii="微软雅黑" w:hAnsi="微软雅黑" w:eastAsia="微软雅黑"/>
          <w:sz w:val="22"/>
        </w:rPr>
        <w:t>（1）坚持做好粮食生产工作，确保粮食安全。</w:t>
      </w:r>
    </w:p>
    <w:p>
      <w:pPr>
        <w:widowControl/>
        <w:spacing w:line="600" w:lineRule="exact"/>
        <w:rPr>
          <w:rFonts w:ascii="微软雅黑" w:hAnsi="微软雅黑" w:eastAsia="微软雅黑"/>
          <w:sz w:val="22"/>
        </w:rPr>
      </w:pPr>
      <w:r>
        <w:rPr>
          <w:rFonts w:hint="eastAsia" w:ascii="微软雅黑" w:hAnsi="微软雅黑" w:eastAsia="微软雅黑"/>
          <w:sz w:val="22"/>
        </w:rPr>
        <w:t>（2）培育壮大主导产业，优化产业结构。</w:t>
      </w:r>
    </w:p>
    <w:p>
      <w:pPr>
        <w:widowControl/>
        <w:shd w:val="clear" w:color="auto" w:fill="FFFFFF"/>
        <w:spacing w:line="600" w:lineRule="exact"/>
        <w:jc w:val="left"/>
        <w:rPr>
          <w:rFonts w:ascii="微软雅黑" w:hAnsi="微软雅黑" w:eastAsia="微软雅黑"/>
          <w:sz w:val="22"/>
        </w:rPr>
      </w:pPr>
      <w:r>
        <w:rPr>
          <w:rFonts w:hint="eastAsia" w:ascii="微软雅黑" w:hAnsi="微软雅黑" w:eastAsia="微软雅黑"/>
          <w:sz w:val="22"/>
        </w:rPr>
        <w:t>（3）坚持推动农村环境整治。</w:t>
      </w:r>
    </w:p>
    <w:p>
      <w:pPr>
        <w:widowControl/>
        <w:shd w:val="clear" w:color="auto" w:fill="FFFFFF"/>
        <w:spacing w:line="600" w:lineRule="exact"/>
        <w:jc w:val="left"/>
        <w:rPr>
          <w:rFonts w:ascii="微软雅黑" w:hAnsi="微软雅黑" w:eastAsia="微软雅黑"/>
          <w:sz w:val="22"/>
        </w:rPr>
      </w:pPr>
      <w:r>
        <w:rPr>
          <w:rFonts w:hint="eastAsia" w:ascii="微软雅黑" w:hAnsi="微软雅黑" w:eastAsia="微软雅黑"/>
          <w:sz w:val="22"/>
        </w:rPr>
        <w:t>（4）大力开展产业扶贫工作。</w:t>
      </w:r>
    </w:p>
    <w:p>
      <w:pPr>
        <w:widowControl/>
        <w:shd w:val="clear" w:color="auto" w:fill="FFFFFF"/>
        <w:spacing w:line="600" w:lineRule="exact"/>
        <w:jc w:val="left"/>
        <w:rPr>
          <w:rFonts w:ascii="微软雅黑" w:hAnsi="微软雅黑" w:eastAsia="微软雅黑"/>
          <w:sz w:val="22"/>
        </w:rPr>
      </w:pPr>
      <w:r>
        <w:rPr>
          <w:rFonts w:hint="eastAsia" w:ascii="微软雅黑" w:hAnsi="微软雅黑" w:eastAsia="微软雅黑"/>
          <w:sz w:val="22"/>
        </w:rPr>
        <w:t>（5）农产品质量安全工作。</w:t>
      </w:r>
    </w:p>
    <w:p>
      <w:pPr>
        <w:pStyle w:val="12"/>
        <w:jc w:val="center"/>
        <w:rPr>
          <w:sz w:val="22"/>
          <w:szCs w:val="22"/>
        </w:rPr>
        <w:sectPr>
          <w:pgSz w:w="11906" w:h="16838"/>
          <w:pgMar w:top="720" w:right="720" w:bottom="720" w:left="720" w:header="851" w:footer="992" w:gutter="0"/>
          <w:cols w:space="425" w:num="1"/>
          <w:docGrid w:type="lines" w:linePitch="312" w:charSpace="0"/>
        </w:sectPr>
      </w:pPr>
    </w:p>
    <w:p>
      <w:pPr>
        <w:pStyle w:val="13"/>
        <w:widowControl/>
        <w:numPr>
          <w:ilvl w:val="0"/>
          <w:numId w:val="2"/>
        </w:numPr>
        <w:spacing w:line="600" w:lineRule="exact"/>
        <w:ind w:firstLineChars="0"/>
        <w:rPr>
          <w:rFonts w:ascii="微软雅黑" w:hAnsi="微软雅黑" w:eastAsia="微软雅黑"/>
          <w:sz w:val="22"/>
        </w:rPr>
      </w:pPr>
      <w:r>
        <w:rPr>
          <w:rFonts w:hint="eastAsia" w:ascii="微软雅黑" w:hAnsi="微软雅黑" w:eastAsia="微软雅黑"/>
          <w:b/>
          <w:bCs/>
          <w:kern w:val="0"/>
          <w:sz w:val="22"/>
        </w:rPr>
        <w:t>农村经营管理部门职责如下</w:t>
      </w:r>
    </w:p>
    <w:p>
      <w:pPr>
        <w:widowControl/>
        <w:spacing w:line="600" w:lineRule="exact"/>
        <w:rPr>
          <w:rFonts w:ascii="微软雅黑" w:hAnsi="微软雅黑" w:eastAsia="微软雅黑"/>
          <w:b/>
          <w:bCs/>
          <w:kern w:val="0"/>
          <w:sz w:val="22"/>
        </w:rPr>
      </w:pPr>
      <w:r>
        <w:rPr>
          <w:rFonts w:hint="eastAsia" w:ascii="微软雅黑" w:hAnsi="微软雅黑" w:eastAsia="微软雅黑"/>
          <w:sz w:val="22"/>
        </w:rPr>
        <w:t>（1）稳定和完善国有土地承包经营制度、村级财务、农民负担监督管理、家庭农场、</w:t>
      </w:r>
      <w:r>
        <w:rPr>
          <w:rFonts w:ascii="微软雅黑" w:hAnsi="微软雅黑" w:eastAsia="微软雅黑"/>
          <w:sz w:val="22"/>
        </w:rPr>
        <w:t>农村专业合作</w:t>
      </w:r>
      <w:r>
        <w:rPr>
          <w:rFonts w:hint="eastAsia" w:ascii="微软雅黑" w:hAnsi="微软雅黑" w:eastAsia="微软雅黑"/>
          <w:sz w:val="22"/>
        </w:rPr>
        <w:t>社工作。</w:t>
      </w:r>
    </w:p>
    <w:p>
      <w:pPr>
        <w:widowControl/>
        <w:spacing w:line="600" w:lineRule="exact"/>
        <w:rPr>
          <w:rFonts w:ascii="微软雅黑" w:hAnsi="微软雅黑" w:eastAsia="微软雅黑"/>
          <w:b/>
          <w:bCs/>
          <w:kern w:val="0"/>
          <w:sz w:val="22"/>
        </w:rPr>
      </w:pPr>
      <w:r>
        <w:rPr>
          <w:rFonts w:hint="eastAsia" w:ascii="微软雅黑" w:hAnsi="微软雅黑" w:eastAsia="微软雅黑"/>
          <w:b/>
          <w:bCs/>
          <w:kern w:val="0"/>
          <w:sz w:val="22"/>
        </w:rPr>
        <w:t>3. 移民开发办公室部门职责如下：</w:t>
      </w:r>
    </w:p>
    <w:p>
      <w:pPr>
        <w:pStyle w:val="13"/>
        <w:spacing w:line="600" w:lineRule="exact"/>
        <w:ind w:firstLine="0" w:firstLineChars="0"/>
        <w:rPr>
          <w:rFonts w:ascii="微软雅黑" w:hAnsi="微软雅黑" w:eastAsia="微软雅黑" w:cs="宋体"/>
          <w:sz w:val="22"/>
        </w:rPr>
      </w:pPr>
      <w:r>
        <w:rPr>
          <w:rFonts w:hint="eastAsia" w:ascii="微软雅黑" w:hAnsi="微软雅黑" w:eastAsia="微软雅黑"/>
          <w:sz w:val="22"/>
        </w:rPr>
        <w:t>（1）</w:t>
      </w:r>
      <w:r>
        <w:rPr>
          <w:rFonts w:hint="eastAsia" w:ascii="微软雅黑" w:hAnsi="微软雅黑" w:eastAsia="微软雅黑" w:cs="宋体"/>
          <w:sz w:val="22"/>
        </w:rPr>
        <w:t>贯彻执行移民、水库移民法律、法规、规章和方针政策，综合协调解决移民工作中的重大问题。</w:t>
      </w:r>
    </w:p>
    <w:p>
      <w:pPr>
        <w:spacing w:line="600" w:lineRule="exact"/>
        <w:rPr>
          <w:rFonts w:ascii="微软雅黑" w:hAnsi="微软雅黑" w:eastAsia="微软雅黑" w:cs="宋体"/>
          <w:sz w:val="22"/>
        </w:rPr>
      </w:pPr>
      <w:r>
        <w:rPr>
          <w:rFonts w:hint="eastAsia" w:ascii="微软雅黑" w:hAnsi="微软雅黑" w:eastAsia="微软雅黑"/>
          <w:sz w:val="22"/>
        </w:rPr>
        <w:t>（2）</w:t>
      </w:r>
      <w:r>
        <w:rPr>
          <w:rFonts w:hint="eastAsia" w:ascii="微软雅黑" w:hAnsi="微软雅黑" w:eastAsia="微软雅黑" w:cs="宋体"/>
          <w:sz w:val="22"/>
        </w:rPr>
        <w:t>负责库区移民后续工作规划的编制和实施工作。</w:t>
      </w:r>
    </w:p>
    <w:p>
      <w:pPr>
        <w:pStyle w:val="13"/>
        <w:spacing w:line="600" w:lineRule="exact"/>
        <w:ind w:firstLine="0" w:firstLineChars="0"/>
        <w:rPr>
          <w:rFonts w:ascii="微软雅黑" w:hAnsi="微软雅黑" w:eastAsia="微软雅黑" w:cs="宋体"/>
          <w:sz w:val="22"/>
        </w:rPr>
      </w:pPr>
      <w:r>
        <w:rPr>
          <w:rFonts w:hint="eastAsia" w:ascii="微软雅黑" w:hAnsi="微软雅黑" w:eastAsia="微软雅黑"/>
          <w:sz w:val="22"/>
        </w:rPr>
        <w:t>（3）</w:t>
      </w:r>
      <w:r>
        <w:rPr>
          <w:rFonts w:hint="eastAsia" w:ascii="微软雅黑" w:hAnsi="微软雅黑" w:eastAsia="微软雅黑" w:cs="宋体"/>
          <w:sz w:val="22"/>
        </w:rPr>
        <w:t>负责管辖区移民后期发展扶持工作，编制规划并组织实施，使用和管理管辖区基金，审核监管重大扶持和发展项目。</w:t>
      </w:r>
    </w:p>
    <w:p>
      <w:pPr>
        <w:pStyle w:val="13"/>
        <w:spacing w:line="600" w:lineRule="exact"/>
        <w:ind w:firstLine="0" w:firstLineChars="0"/>
        <w:rPr>
          <w:rFonts w:ascii="微软雅黑" w:hAnsi="微软雅黑" w:eastAsia="微软雅黑" w:cs="宋体"/>
          <w:sz w:val="22"/>
        </w:rPr>
      </w:pPr>
      <w:r>
        <w:rPr>
          <w:rFonts w:hint="eastAsia" w:ascii="微软雅黑" w:hAnsi="微软雅黑" w:eastAsia="微软雅黑"/>
          <w:sz w:val="22"/>
        </w:rPr>
        <w:t>（4）</w:t>
      </w:r>
      <w:r>
        <w:rPr>
          <w:rFonts w:hint="eastAsia" w:ascii="微软雅黑" w:hAnsi="微软雅黑" w:eastAsia="微软雅黑" w:cs="宋体"/>
          <w:sz w:val="22"/>
        </w:rPr>
        <w:t>负责水库管辖段综合管理工作、移民工作的管理和监督、移民信访工作、宣传工作、移民就业培训工作、移民搬迁安置工作。</w:t>
      </w:r>
    </w:p>
    <w:p>
      <w:pPr>
        <w:pStyle w:val="13"/>
        <w:spacing w:line="600" w:lineRule="exact"/>
        <w:ind w:firstLine="0" w:firstLineChars="0"/>
        <w:rPr>
          <w:rFonts w:ascii="微软雅黑" w:hAnsi="微软雅黑" w:eastAsia="微软雅黑" w:cs="宋体"/>
          <w:sz w:val="22"/>
        </w:rPr>
      </w:pPr>
      <w:r>
        <w:rPr>
          <w:rFonts w:hint="eastAsia" w:ascii="微软雅黑" w:hAnsi="微软雅黑" w:eastAsia="微软雅黑"/>
          <w:sz w:val="22"/>
        </w:rPr>
        <w:t>（5）</w:t>
      </w:r>
      <w:r>
        <w:rPr>
          <w:rFonts w:hint="eastAsia" w:ascii="微软雅黑" w:hAnsi="微软雅黑" w:eastAsia="微软雅黑" w:cs="宋体"/>
          <w:sz w:val="22"/>
        </w:rPr>
        <w:t>负责水利工程库区移民资金使用的监督检查，会同有关部门对移民工程质量进行监督检查。</w:t>
      </w:r>
    </w:p>
    <w:p>
      <w:pPr>
        <w:spacing w:line="600" w:lineRule="exact"/>
        <w:rPr>
          <w:rFonts w:ascii="微软雅黑" w:hAnsi="微软雅黑" w:eastAsia="微软雅黑"/>
          <w:b/>
          <w:bCs/>
          <w:kern w:val="0"/>
          <w:sz w:val="22"/>
        </w:rPr>
      </w:pPr>
      <w:r>
        <w:rPr>
          <w:rFonts w:hint="eastAsia" w:ascii="微软雅黑" w:hAnsi="微软雅黑" w:eastAsia="微软雅黑"/>
          <w:b/>
          <w:bCs/>
          <w:kern w:val="0"/>
          <w:sz w:val="22"/>
        </w:rPr>
        <w:t>4.农业综合开发办公室部门职责如下：</w:t>
      </w:r>
    </w:p>
    <w:p>
      <w:pPr>
        <w:spacing w:line="600" w:lineRule="exact"/>
        <w:rPr>
          <w:rFonts w:ascii="微软雅黑" w:hAnsi="微软雅黑" w:eastAsia="微软雅黑" w:cs="宋体"/>
          <w:sz w:val="22"/>
        </w:rPr>
      </w:pPr>
      <w:r>
        <w:rPr>
          <w:rFonts w:hint="eastAsia" w:ascii="微软雅黑" w:hAnsi="微软雅黑" w:eastAsia="微软雅黑" w:cs="宋体"/>
          <w:sz w:val="22"/>
        </w:rPr>
        <w:t>（1）申报建设高标准农田建设。</w:t>
      </w:r>
    </w:p>
    <w:p>
      <w:pPr>
        <w:spacing w:line="600" w:lineRule="exact"/>
        <w:rPr>
          <w:rFonts w:ascii="微软雅黑" w:hAnsi="微软雅黑" w:eastAsia="微软雅黑"/>
          <w:b/>
          <w:bCs/>
          <w:kern w:val="0"/>
          <w:sz w:val="22"/>
        </w:rPr>
      </w:pPr>
      <w:r>
        <w:rPr>
          <w:rFonts w:hint="eastAsia" w:ascii="微软雅黑" w:hAnsi="微软雅黑" w:eastAsia="微软雅黑"/>
          <w:b/>
          <w:bCs/>
          <w:kern w:val="0"/>
          <w:sz w:val="22"/>
        </w:rPr>
        <w:t>5.水利部门职责如下：</w:t>
      </w:r>
    </w:p>
    <w:p>
      <w:pPr>
        <w:pStyle w:val="6"/>
        <w:spacing w:before="0" w:beforeAutospacing="0" w:after="0" w:afterAutospacing="0" w:line="600" w:lineRule="exact"/>
        <w:jc w:val="both"/>
        <w:rPr>
          <w:rFonts w:ascii="微软雅黑" w:hAnsi="微软雅黑" w:eastAsia="微软雅黑"/>
          <w:kern w:val="2"/>
          <w:sz w:val="22"/>
          <w:szCs w:val="22"/>
        </w:rPr>
      </w:pPr>
      <w:r>
        <w:rPr>
          <w:rFonts w:hint="eastAsia" w:ascii="微软雅黑" w:hAnsi="微软雅黑" w:eastAsia="微软雅黑"/>
          <w:kern w:val="2"/>
          <w:sz w:val="22"/>
          <w:szCs w:val="22"/>
        </w:rPr>
        <w:t>（1）负责保障全区水资源的合理开发和利用，严格执行建设项目水资源论证制度，拟定全区水利战略规划和政策，组织编制区确定的重要江河湖泊的流域综合规划、防洪规划等重大水利规划，按规定制定水利工程建设有关制度并组织实施，负责提出水利固定资产投资规模和方向，区财政性资金安排的建议，按规划权限审核，批准区规划内和年度计划舰模内水利固定资产投资项目；提出国家、省，市及区水利建设投资安排建议并组织实施．</w:t>
      </w:r>
    </w:p>
    <w:p>
      <w:pPr>
        <w:pStyle w:val="6"/>
        <w:spacing w:before="0" w:beforeAutospacing="0" w:after="0" w:afterAutospacing="0" w:line="600" w:lineRule="exact"/>
        <w:ind w:firstLine="330" w:firstLineChars="150"/>
        <w:jc w:val="both"/>
        <w:rPr>
          <w:rFonts w:ascii="微软雅黑" w:hAnsi="微软雅黑" w:eastAsia="微软雅黑"/>
          <w:kern w:val="2"/>
          <w:sz w:val="22"/>
          <w:szCs w:val="22"/>
        </w:rPr>
      </w:pPr>
      <w:r>
        <w:rPr>
          <w:rFonts w:hint="eastAsia" w:ascii="微软雅黑" w:hAnsi="微软雅黑" w:eastAsia="微软雅黑"/>
          <w:kern w:val="2"/>
          <w:sz w:val="22"/>
          <w:szCs w:val="22"/>
        </w:rPr>
        <w:t>（2）负责生活、生产经营和生态环境用水的统筹兼顾和保障实施水资源的统一监督管理，拟订全区的水中长期供求规划、水量分配方案并监督实施，组织开展水资源调查评价工作，开展水能资源普查和调查评价。负责全区重要流域、区域的的水资源调度，组织实施取水许可、水资源有偿使用制度和水资源论证，防洪论证制度。指导水利行业和乡镇供水工作。</w:t>
      </w:r>
    </w:p>
    <w:p>
      <w:pPr>
        <w:pStyle w:val="6"/>
        <w:spacing w:before="0" w:beforeAutospacing="0" w:after="0" w:afterAutospacing="0" w:line="600" w:lineRule="exact"/>
        <w:ind w:firstLine="330" w:firstLineChars="150"/>
        <w:jc w:val="both"/>
        <w:rPr>
          <w:rFonts w:ascii="微软雅黑" w:hAnsi="微软雅黑" w:eastAsia="微软雅黑"/>
          <w:kern w:val="2"/>
          <w:sz w:val="22"/>
          <w:szCs w:val="22"/>
        </w:rPr>
      </w:pPr>
      <w:r>
        <w:rPr>
          <w:rFonts w:hint="eastAsia" w:ascii="微软雅黑" w:hAnsi="微软雅黑" w:eastAsia="微软雅黑"/>
          <w:kern w:val="2"/>
          <w:sz w:val="22"/>
          <w:szCs w:val="22"/>
        </w:rPr>
        <w:t>（3）负责水资源保护工作。组织编制水资源保护规划，组织拟订重要河流、水库的水功能区划并监督实施，核定水域纳污能力，提出限制排污总量建议，按照管理权限负责入河排污口设置审批工作，指导饮用水水源保护工作，指导地下水开发利用和地下水资源管理保护工作。</w:t>
      </w:r>
    </w:p>
    <w:p>
      <w:pPr>
        <w:pStyle w:val="6"/>
        <w:spacing w:before="0" w:beforeAutospacing="0" w:after="0" w:afterAutospacing="0" w:line="600" w:lineRule="exact"/>
        <w:jc w:val="both"/>
        <w:rPr>
          <w:rFonts w:ascii="微软雅黑" w:hAnsi="微软雅黑" w:eastAsia="微软雅黑"/>
          <w:kern w:val="2"/>
          <w:sz w:val="22"/>
          <w:szCs w:val="22"/>
        </w:rPr>
      </w:pPr>
      <w:r>
        <w:rPr>
          <w:rFonts w:hint="eastAsia" w:ascii="微软雅黑" w:hAnsi="微软雅黑" w:eastAsia="微软雅黑"/>
          <w:kern w:val="2"/>
          <w:sz w:val="22"/>
          <w:szCs w:val="22"/>
        </w:rPr>
        <w:t>（4）负责防治水旱灾害，对重要河流、水库和重要水利工程实施防汛抗旱调度和应急水量调度，编制区防汛抗旱、水旱灾害防御、水库应急预橐并组织实施。指导水利突发公共事件的应急管理工作。</w:t>
      </w:r>
    </w:p>
    <w:p>
      <w:pPr>
        <w:pStyle w:val="6"/>
        <w:spacing w:before="0" w:beforeAutospacing="0" w:after="0" w:afterAutospacing="0" w:line="600" w:lineRule="exact"/>
        <w:jc w:val="both"/>
        <w:rPr>
          <w:rFonts w:ascii="微软雅黑" w:hAnsi="微软雅黑" w:eastAsia="微软雅黑"/>
          <w:kern w:val="2"/>
          <w:sz w:val="22"/>
          <w:szCs w:val="22"/>
        </w:rPr>
      </w:pPr>
      <w:r>
        <w:rPr>
          <w:rFonts w:hint="eastAsia" w:ascii="微软雅黑" w:hAnsi="微软雅黑" w:eastAsia="微软雅黑"/>
          <w:kern w:val="2"/>
          <w:sz w:val="22"/>
          <w:szCs w:val="22"/>
        </w:rPr>
        <w:t>（5）负责全区水能资源开发利用的统一监督管理，会同有关部门编制水能资源开发利用规划并监督实施，负责全区水能资源开发利用权有偿取得工作。</w:t>
      </w:r>
    </w:p>
    <w:p>
      <w:pPr>
        <w:pStyle w:val="6"/>
        <w:spacing w:before="0" w:beforeAutospacing="0" w:after="0" w:afterAutospacing="0" w:line="600" w:lineRule="exact"/>
        <w:jc w:val="both"/>
        <w:rPr>
          <w:rFonts w:ascii="微软雅黑" w:hAnsi="微软雅黑" w:eastAsia="微软雅黑"/>
          <w:kern w:val="2"/>
          <w:sz w:val="22"/>
          <w:szCs w:val="22"/>
        </w:rPr>
      </w:pPr>
      <w:r>
        <w:rPr>
          <w:rFonts w:hint="eastAsia" w:ascii="微软雅黑" w:hAnsi="微软雅黑" w:eastAsia="微软雅黑"/>
          <w:kern w:val="2"/>
          <w:sz w:val="22"/>
          <w:szCs w:val="22"/>
        </w:rPr>
        <w:t>（6）负责节约用水工作。拟订节约用水政策，编制全区节约用水规划，执行有关标准，指导和推动节水型社会建设工作。</w:t>
      </w:r>
    </w:p>
    <w:p>
      <w:pPr>
        <w:pStyle w:val="6"/>
        <w:spacing w:before="0" w:beforeAutospacing="0" w:after="0" w:afterAutospacing="0" w:line="600" w:lineRule="exact"/>
        <w:jc w:val="both"/>
        <w:rPr>
          <w:rFonts w:ascii="微软雅黑" w:hAnsi="微软雅黑" w:eastAsia="微软雅黑"/>
          <w:kern w:val="2"/>
          <w:sz w:val="22"/>
          <w:szCs w:val="22"/>
        </w:rPr>
      </w:pPr>
      <w:r>
        <w:rPr>
          <w:rFonts w:hint="eastAsia" w:ascii="微软雅黑" w:hAnsi="微软雅黑" w:eastAsia="微软雅黑"/>
          <w:kern w:val="2"/>
          <w:sz w:val="22"/>
          <w:szCs w:val="22"/>
        </w:rPr>
        <w:t>（7）组织指导水利设施，水域及其岸线的管理和保护，组织指导河流、水库及河口的治理和开发，负责河道管理工作，指导水利工程建设与运行管理，组织实施具有控制性的或跨乡镇的重要水利工程建设与运行管理。</w:t>
      </w:r>
    </w:p>
    <w:p>
      <w:pPr>
        <w:pStyle w:val="6"/>
        <w:spacing w:before="0" w:beforeAutospacing="0" w:after="0" w:afterAutospacing="0" w:line="600" w:lineRule="exact"/>
        <w:jc w:val="both"/>
        <w:rPr>
          <w:rFonts w:ascii="微软雅黑" w:hAnsi="微软雅黑" w:eastAsia="微软雅黑"/>
          <w:kern w:val="2"/>
          <w:sz w:val="22"/>
          <w:szCs w:val="22"/>
        </w:rPr>
      </w:pPr>
      <w:r>
        <w:rPr>
          <w:rFonts w:hint="eastAsia" w:ascii="微软雅黑" w:hAnsi="微软雅黑" w:eastAsia="微软雅黑"/>
          <w:kern w:val="2"/>
          <w:sz w:val="22"/>
          <w:szCs w:val="22"/>
        </w:rPr>
        <w:t>（8）负责防治水土流失工作．拟订水土保持规划并监督实施，组织实施水土流失的综合防治，监测预报并定期公告；负责有关开发建设项目水土保持方案的审批，监督实施及水土保持设施的验收工作，指导重点水土保持建设项目的实施．负责水土保持规费征收制度的实施．</w:t>
      </w:r>
    </w:p>
    <w:p>
      <w:pPr>
        <w:pStyle w:val="6"/>
        <w:spacing w:before="0" w:beforeAutospacing="0" w:after="0" w:afterAutospacing="0" w:line="600" w:lineRule="exact"/>
        <w:jc w:val="both"/>
        <w:rPr>
          <w:rFonts w:ascii="微软雅黑" w:hAnsi="微软雅黑" w:eastAsia="微软雅黑"/>
          <w:kern w:val="2"/>
          <w:sz w:val="22"/>
          <w:szCs w:val="22"/>
        </w:rPr>
      </w:pPr>
      <w:r>
        <w:rPr>
          <w:rFonts w:hint="eastAsia" w:ascii="微软雅黑" w:hAnsi="微软雅黑" w:eastAsia="微软雅黑"/>
          <w:kern w:val="2"/>
          <w:sz w:val="22"/>
          <w:szCs w:val="22"/>
        </w:rPr>
        <w:t>（9）指导农村水利工作．组织协调农田水利基本建设，组织指导农村饮水安全，节水灌溉等工程建设与管理工作，指导农村水利社会化服务体系建设，指导农村饮水、供水。</w:t>
      </w:r>
    </w:p>
    <w:p>
      <w:pPr>
        <w:pStyle w:val="6"/>
        <w:spacing w:before="0" w:beforeAutospacing="0" w:after="0" w:afterAutospacing="0" w:line="600" w:lineRule="exact"/>
        <w:jc w:val="both"/>
        <w:rPr>
          <w:rFonts w:ascii="微软雅黑" w:hAnsi="微软雅黑" w:eastAsia="微软雅黑"/>
          <w:kern w:val="2"/>
          <w:sz w:val="22"/>
          <w:szCs w:val="22"/>
        </w:rPr>
      </w:pPr>
      <w:r>
        <w:rPr>
          <w:rFonts w:hint="eastAsia" w:ascii="微软雅黑" w:hAnsi="微软雅黑" w:eastAsia="微软雅黑"/>
          <w:kern w:val="2"/>
          <w:sz w:val="22"/>
          <w:szCs w:val="22"/>
        </w:rPr>
        <w:t>（10）指导全区水利行业的国有资产监管工作，负责对水利资金的使用和局属系统国有资产的监管工作；指导水利经济和水利风景区建设与管理工作。</w:t>
      </w:r>
    </w:p>
    <w:p>
      <w:pPr>
        <w:pStyle w:val="6"/>
        <w:spacing w:before="0" w:beforeAutospacing="0" w:after="0" w:afterAutospacing="0" w:line="600" w:lineRule="exact"/>
        <w:jc w:val="both"/>
        <w:rPr>
          <w:rFonts w:ascii="微软雅黑" w:hAnsi="微软雅黑" w:eastAsia="微软雅黑"/>
          <w:kern w:val="2"/>
          <w:sz w:val="22"/>
          <w:szCs w:val="22"/>
        </w:rPr>
      </w:pPr>
      <w:r>
        <w:rPr>
          <w:rFonts w:hint="eastAsia" w:ascii="微软雅黑" w:hAnsi="微软雅黑" w:eastAsia="微软雅黑"/>
          <w:kern w:val="2"/>
          <w:sz w:val="22"/>
          <w:szCs w:val="22"/>
        </w:rPr>
        <w:t>（11）组织指导水政监察和水行政执法，查处重大涉水违法事件，协调，协助区政府裁决跨乡镇水事纠纷；依法负责水利行业安全生产工作，组织、指导水库大坝的安全监管，指导水利建设市场的监督管理，组织实施水利工程建设的监督。</w:t>
      </w:r>
    </w:p>
    <w:p>
      <w:pPr>
        <w:pStyle w:val="6"/>
        <w:spacing w:before="0" w:beforeAutospacing="0" w:after="0" w:afterAutospacing="0" w:line="600" w:lineRule="exact"/>
        <w:jc w:val="both"/>
        <w:rPr>
          <w:rFonts w:ascii="微软雅黑" w:hAnsi="微软雅黑" w:eastAsia="微软雅黑"/>
          <w:kern w:val="2"/>
          <w:sz w:val="22"/>
          <w:szCs w:val="22"/>
        </w:rPr>
      </w:pPr>
      <w:r>
        <w:rPr>
          <w:rFonts w:hint="eastAsia" w:ascii="微软雅黑" w:hAnsi="微软雅黑" w:eastAsia="微软雅黑"/>
          <w:kern w:val="2"/>
          <w:sz w:val="22"/>
          <w:szCs w:val="22"/>
        </w:rPr>
        <w:t>（12）开展水利科技和外事工作，组织开展水利行业质量监督工作，指导和监督实施水利行业的技术标准、规程规范承担水利统计工作，指导全区水利队伍建设，指导全区水利信息化工作。</w:t>
      </w:r>
    </w:p>
    <w:p>
      <w:pPr>
        <w:spacing w:line="600" w:lineRule="exact"/>
        <w:rPr>
          <w:rFonts w:ascii="微软雅黑" w:hAnsi="微软雅黑" w:eastAsia="微软雅黑"/>
          <w:b/>
          <w:bCs/>
          <w:kern w:val="0"/>
          <w:sz w:val="22"/>
        </w:rPr>
      </w:pPr>
      <w:r>
        <w:rPr>
          <w:rFonts w:hint="eastAsia" w:ascii="微软雅黑" w:hAnsi="微软雅黑" w:eastAsia="微软雅黑"/>
          <w:b/>
          <w:bCs/>
          <w:kern w:val="0"/>
          <w:sz w:val="22"/>
        </w:rPr>
        <w:t>6.林业部门职责如下：</w:t>
      </w:r>
    </w:p>
    <w:p>
      <w:pPr>
        <w:spacing w:line="600" w:lineRule="exact"/>
        <w:rPr>
          <w:rFonts w:ascii="微软雅黑" w:hAnsi="微软雅黑" w:eastAsia="微软雅黑" w:cs="宋体"/>
          <w:sz w:val="22"/>
        </w:rPr>
      </w:pPr>
      <w:r>
        <w:rPr>
          <w:rFonts w:hint="eastAsia" w:ascii="微软雅黑" w:hAnsi="微软雅黑" w:eastAsia="微软雅黑"/>
          <w:sz w:val="22"/>
        </w:rPr>
        <w:t>（1</w:t>
      </w:r>
      <w:r>
        <w:rPr>
          <w:rFonts w:hint="eastAsia" w:ascii="微软雅黑" w:hAnsi="微软雅黑" w:eastAsia="微软雅黑" w:cs="宋体"/>
          <w:sz w:val="22"/>
        </w:rPr>
        <w:t>）森林防火工作常态化，对未经批准擅自野外用火的进行处罚。</w:t>
      </w:r>
    </w:p>
    <w:p>
      <w:pPr>
        <w:spacing w:line="600" w:lineRule="exact"/>
        <w:rPr>
          <w:rFonts w:ascii="微软雅黑" w:hAnsi="微软雅黑" w:eastAsia="微软雅黑" w:cs="宋体"/>
          <w:sz w:val="22"/>
        </w:rPr>
      </w:pPr>
      <w:r>
        <w:rPr>
          <w:rFonts w:hint="eastAsia" w:ascii="微软雅黑" w:hAnsi="微软雅黑" w:eastAsia="微软雅黑" w:cs="宋体"/>
          <w:sz w:val="22"/>
        </w:rPr>
        <w:t>（2）林木采伐许可证核发。</w:t>
      </w:r>
    </w:p>
    <w:p>
      <w:pPr>
        <w:spacing w:line="600" w:lineRule="exact"/>
        <w:rPr>
          <w:rFonts w:ascii="微软雅黑" w:hAnsi="微软雅黑" w:eastAsia="微软雅黑" w:cs="宋体"/>
          <w:sz w:val="22"/>
        </w:rPr>
      </w:pPr>
      <w:r>
        <w:rPr>
          <w:rFonts w:hint="eastAsia" w:ascii="微软雅黑" w:hAnsi="微软雅黑" w:eastAsia="微软雅黑" w:cs="宋体"/>
          <w:sz w:val="22"/>
        </w:rPr>
        <w:t>（3）临时占用林地审批。</w:t>
      </w:r>
    </w:p>
    <w:p>
      <w:pPr>
        <w:spacing w:line="600" w:lineRule="exact"/>
        <w:rPr>
          <w:rFonts w:ascii="微软雅黑" w:hAnsi="微软雅黑" w:eastAsia="微软雅黑" w:cs="宋体"/>
          <w:sz w:val="22"/>
        </w:rPr>
      </w:pPr>
      <w:r>
        <w:rPr>
          <w:rFonts w:hint="eastAsia" w:ascii="微软雅黑" w:hAnsi="微软雅黑" w:eastAsia="微软雅黑" w:cs="宋体"/>
          <w:sz w:val="22"/>
        </w:rPr>
        <w:t>（4）对滥伐森林或者其他林木的处罚。</w:t>
      </w:r>
    </w:p>
    <w:p>
      <w:pPr>
        <w:spacing w:line="600" w:lineRule="exact"/>
        <w:rPr>
          <w:rFonts w:ascii="微软雅黑" w:hAnsi="微软雅黑" w:eastAsia="微软雅黑" w:cs="宋体"/>
          <w:sz w:val="22"/>
        </w:rPr>
      </w:pPr>
      <w:r>
        <w:rPr>
          <w:rFonts w:hint="eastAsia" w:ascii="微软雅黑" w:hAnsi="微软雅黑" w:eastAsia="微软雅黑" w:cs="宋体"/>
          <w:sz w:val="22"/>
        </w:rPr>
        <w:t>（5）对毁坏森林林木的处罚。</w:t>
      </w:r>
    </w:p>
    <w:p>
      <w:pPr>
        <w:spacing w:line="600" w:lineRule="exact"/>
        <w:rPr>
          <w:rFonts w:ascii="微软雅黑" w:hAnsi="微软雅黑" w:eastAsia="微软雅黑" w:cs="宋体"/>
          <w:sz w:val="22"/>
        </w:rPr>
      </w:pPr>
      <w:r>
        <w:rPr>
          <w:rFonts w:hint="eastAsia" w:ascii="微软雅黑" w:hAnsi="微软雅黑" w:eastAsia="微软雅黑" w:cs="宋体"/>
          <w:sz w:val="22"/>
        </w:rPr>
        <w:t>（6）对野生动物进行保护。</w:t>
      </w:r>
    </w:p>
    <w:p>
      <w:pPr>
        <w:spacing w:line="600" w:lineRule="exact"/>
        <w:rPr>
          <w:rFonts w:ascii="微软雅黑" w:hAnsi="微软雅黑" w:eastAsia="微软雅黑" w:cs="宋体"/>
          <w:sz w:val="22"/>
        </w:rPr>
      </w:pPr>
      <w:r>
        <w:rPr>
          <w:rFonts w:hint="eastAsia" w:ascii="微软雅黑" w:hAnsi="微软雅黑" w:eastAsia="微软雅黑" w:cs="宋体"/>
          <w:sz w:val="22"/>
        </w:rPr>
        <w:t>（7）对名木古树进行挂牌保护。</w:t>
      </w:r>
    </w:p>
    <w:p>
      <w:pPr>
        <w:spacing w:line="600" w:lineRule="exact"/>
        <w:rPr>
          <w:rFonts w:ascii="微软雅黑" w:hAnsi="微软雅黑" w:eastAsia="微软雅黑"/>
          <w:b/>
          <w:bCs/>
          <w:kern w:val="0"/>
          <w:sz w:val="22"/>
        </w:rPr>
      </w:pPr>
      <w:r>
        <w:rPr>
          <w:rFonts w:hint="eastAsia" w:ascii="微软雅黑" w:hAnsi="微软雅黑" w:eastAsia="微软雅黑"/>
          <w:b/>
          <w:bCs/>
          <w:kern w:val="0"/>
          <w:sz w:val="22"/>
        </w:rPr>
        <w:t>7.扶贫开发办公室部门职责如下：</w:t>
      </w:r>
    </w:p>
    <w:p>
      <w:pPr>
        <w:spacing w:line="600" w:lineRule="exact"/>
        <w:rPr>
          <w:rFonts w:ascii="微软雅黑" w:hAnsi="微软雅黑" w:eastAsia="微软雅黑" w:cs="宋体"/>
          <w:sz w:val="22"/>
        </w:rPr>
      </w:pPr>
      <w:r>
        <w:rPr>
          <w:rFonts w:hint="eastAsia" w:ascii="微软雅黑" w:hAnsi="微软雅黑" w:eastAsia="微软雅黑" w:cs="宋体"/>
          <w:sz w:val="22"/>
        </w:rPr>
        <w:t>（1）贯彻执行国家和省、市扶贫开发工作的方针、政策，拟订全区扶贫开发工作的政策和规章制度。</w:t>
      </w:r>
    </w:p>
    <w:p>
      <w:pPr>
        <w:spacing w:line="600" w:lineRule="exact"/>
        <w:rPr>
          <w:rFonts w:ascii="微软雅黑" w:hAnsi="微软雅黑" w:eastAsia="微软雅黑" w:cs="宋体"/>
          <w:sz w:val="22"/>
        </w:rPr>
      </w:pPr>
      <w:r>
        <w:rPr>
          <w:rFonts w:hint="eastAsia" w:ascii="微软雅黑" w:hAnsi="微软雅黑" w:eastAsia="微软雅黑" w:cs="宋体"/>
          <w:sz w:val="22"/>
        </w:rPr>
        <w:t>（2）开展调查研究，编制全区扶贫开发的中长期规划和年度计划，指导乡（镇）扶贫开发工作。</w:t>
      </w:r>
    </w:p>
    <w:p>
      <w:pPr>
        <w:spacing w:line="600" w:lineRule="exact"/>
        <w:rPr>
          <w:rFonts w:ascii="微软雅黑" w:hAnsi="微软雅黑" w:eastAsia="微软雅黑" w:cs="宋体"/>
          <w:sz w:val="22"/>
        </w:rPr>
      </w:pPr>
      <w:r>
        <w:rPr>
          <w:rFonts w:hint="eastAsia" w:ascii="微软雅黑" w:hAnsi="微软雅黑" w:eastAsia="微软雅黑" w:cs="宋体"/>
          <w:sz w:val="22"/>
        </w:rPr>
        <w:t>（3）负责全区扶贫开发项目的评估论证、申报审批和组织实施工作。</w:t>
      </w:r>
    </w:p>
    <w:p>
      <w:pPr>
        <w:spacing w:line="600" w:lineRule="exact"/>
        <w:rPr>
          <w:rFonts w:ascii="微软雅黑" w:hAnsi="微软雅黑" w:eastAsia="微软雅黑" w:cs="宋体"/>
          <w:sz w:val="22"/>
        </w:rPr>
      </w:pPr>
      <w:r>
        <w:rPr>
          <w:rFonts w:hint="eastAsia" w:ascii="微软雅黑" w:hAnsi="微软雅黑" w:eastAsia="微软雅黑" w:cs="宋体"/>
          <w:sz w:val="22"/>
        </w:rPr>
        <w:t>（4）负责拟定全区扶贫资金分配方案，指导、监督和检查扶贫开发资金的使用管理工作。</w:t>
      </w:r>
    </w:p>
    <w:p>
      <w:pPr>
        <w:spacing w:line="600" w:lineRule="exact"/>
        <w:rPr>
          <w:rFonts w:ascii="微软雅黑" w:hAnsi="微软雅黑" w:eastAsia="微软雅黑" w:cs="宋体"/>
          <w:sz w:val="22"/>
        </w:rPr>
      </w:pPr>
      <w:r>
        <w:rPr>
          <w:rFonts w:hint="eastAsia" w:ascii="微软雅黑" w:hAnsi="微软雅黑" w:eastAsia="微软雅黑" w:cs="宋体"/>
          <w:sz w:val="22"/>
        </w:rPr>
        <w:t>（5）负责全区致富带头人培训、雨露计划，小额信贷，消费扶贫、扶贫系统、涉贫信访、社会扶贫等工作。</w:t>
      </w:r>
    </w:p>
    <w:p>
      <w:pPr>
        <w:spacing w:line="600" w:lineRule="exact"/>
        <w:rPr>
          <w:rFonts w:ascii="微软雅黑" w:hAnsi="微软雅黑" w:eastAsia="微软雅黑" w:cs="宋体"/>
          <w:sz w:val="22"/>
        </w:rPr>
      </w:pPr>
      <w:r>
        <w:rPr>
          <w:rFonts w:hint="eastAsia" w:ascii="微软雅黑" w:hAnsi="微软雅黑" w:eastAsia="微软雅黑" w:cs="宋体"/>
          <w:sz w:val="22"/>
        </w:rPr>
        <w:t>（6）负责全区扶贫开发的统计、监测和宣传信息工作。</w:t>
      </w:r>
    </w:p>
    <w:p>
      <w:pPr>
        <w:spacing w:line="600" w:lineRule="exact"/>
        <w:rPr>
          <w:rFonts w:ascii="微软雅黑" w:hAnsi="微软雅黑" w:eastAsia="微软雅黑" w:cs="宋体"/>
          <w:sz w:val="22"/>
        </w:rPr>
      </w:pPr>
      <w:r>
        <w:rPr>
          <w:rFonts w:hint="eastAsia" w:ascii="微软雅黑" w:hAnsi="微软雅黑" w:eastAsia="微软雅黑" w:cs="宋体"/>
          <w:sz w:val="22"/>
        </w:rPr>
        <w:t>（7）承担区扶贫开发领导小组的日常工作。</w:t>
      </w:r>
    </w:p>
    <w:p>
      <w:pPr>
        <w:spacing w:line="600" w:lineRule="exact"/>
        <w:rPr>
          <w:rFonts w:ascii="微软雅黑" w:hAnsi="微软雅黑" w:eastAsia="微软雅黑" w:cs="宋体"/>
          <w:sz w:val="22"/>
        </w:rPr>
      </w:pPr>
      <w:r>
        <w:rPr>
          <w:rFonts w:hint="eastAsia" w:ascii="微软雅黑" w:hAnsi="微软雅黑" w:eastAsia="微软雅黑" w:cs="宋体"/>
          <w:sz w:val="22"/>
        </w:rPr>
        <w:t>（8）承办管理区交办的其他事项。</w:t>
      </w:r>
    </w:p>
    <w:p>
      <w:pPr>
        <w:widowControl/>
        <w:spacing w:line="600" w:lineRule="exact"/>
        <w:ind w:firstLine="110" w:firstLineChars="50"/>
        <w:rPr>
          <w:rFonts w:ascii="微软雅黑" w:hAnsi="微软雅黑" w:eastAsia="微软雅黑"/>
          <w:b/>
          <w:bCs/>
          <w:kern w:val="0"/>
          <w:sz w:val="22"/>
        </w:rPr>
      </w:pPr>
      <w:r>
        <w:rPr>
          <w:rFonts w:hint="eastAsia" w:ascii="微软雅黑" w:hAnsi="微软雅黑" w:eastAsia="微软雅黑"/>
          <w:b/>
          <w:bCs/>
          <w:kern w:val="0"/>
          <w:sz w:val="22"/>
        </w:rPr>
        <w:t>二、机构设置及决算单位构成</w:t>
      </w:r>
    </w:p>
    <w:p>
      <w:pPr>
        <w:ind w:firstLine="440" w:firstLineChars="200"/>
        <w:rPr>
          <w:rFonts w:ascii="微软雅黑" w:hAnsi="微软雅黑" w:eastAsia="微软雅黑"/>
          <w:b/>
          <w:bCs/>
          <w:kern w:val="0"/>
          <w:sz w:val="22"/>
        </w:rPr>
      </w:pPr>
      <w:r>
        <w:rPr>
          <w:rFonts w:hint="eastAsia" w:ascii="微软雅黑" w:hAnsi="微软雅黑" w:eastAsia="微软雅黑"/>
          <w:b/>
          <w:bCs/>
          <w:kern w:val="0"/>
          <w:sz w:val="22"/>
        </w:rPr>
        <w:t>（一）内设机构设置。</w:t>
      </w:r>
    </w:p>
    <w:p>
      <w:pPr>
        <w:ind w:firstLine="440" w:firstLineChars="200"/>
        <w:rPr>
          <w:rFonts w:ascii="微软雅黑" w:hAnsi="微软雅黑" w:eastAsia="微软雅黑" w:cs="宋体"/>
          <w:sz w:val="22"/>
        </w:rPr>
      </w:pPr>
      <w:r>
        <w:rPr>
          <w:rFonts w:hint="eastAsia" w:ascii="微软雅黑" w:hAnsi="微软雅黑" w:eastAsia="微软雅黑" w:cs="宋体"/>
          <w:sz w:val="22"/>
        </w:rPr>
        <w:t>2021年人员机构合并（水利，林业，扶贫，移民，经管，农开办并入）编制</w:t>
      </w:r>
      <w:r>
        <w:rPr>
          <w:rFonts w:hint="eastAsia" w:ascii="微软雅黑" w:hAnsi="微软雅黑" w:eastAsia="微软雅黑" w:cs="宋体"/>
          <w:sz w:val="22"/>
          <w:lang w:val="en-US" w:eastAsia="zh-CN"/>
        </w:rPr>
        <w:t>54</w:t>
      </w:r>
      <w:r>
        <w:rPr>
          <w:rFonts w:hint="eastAsia" w:ascii="微软雅黑" w:hAnsi="微软雅黑" w:eastAsia="微软雅黑" w:cs="宋体"/>
          <w:sz w:val="22"/>
        </w:rPr>
        <w:t>人，实有干部职工</w:t>
      </w:r>
      <w:r>
        <w:rPr>
          <w:rFonts w:hint="eastAsia" w:ascii="微软雅黑" w:hAnsi="微软雅黑" w:eastAsia="微软雅黑" w:cs="宋体"/>
          <w:sz w:val="22"/>
          <w:lang w:val="en-US" w:eastAsia="zh-CN"/>
        </w:rPr>
        <w:t>54</w:t>
      </w:r>
      <w:r>
        <w:rPr>
          <w:rFonts w:hint="eastAsia" w:ascii="微软雅黑" w:hAnsi="微软雅黑" w:eastAsia="微软雅黑" w:cs="宋体"/>
          <w:sz w:val="22"/>
        </w:rPr>
        <w:t>人，其中：在职</w:t>
      </w:r>
      <w:r>
        <w:rPr>
          <w:rFonts w:hint="eastAsia" w:ascii="微软雅黑" w:hAnsi="微软雅黑" w:eastAsia="微软雅黑" w:cs="宋体"/>
          <w:sz w:val="22"/>
          <w:lang w:val="en-US" w:eastAsia="zh-CN"/>
        </w:rPr>
        <w:t>54</w:t>
      </w:r>
      <w:r>
        <w:rPr>
          <w:rFonts w:hint="eastAsia" w:ascii="微软雅黑" w:hAnsi="微软雅黑" w:eastAsia="微软雅黑" w:cs="宋体"/>
          <w:sz w:val="22"/>
        </w:rPr>
        <w:t>人（包括兼职工会主席）。</w:t>
      </w:r>
    </w:p>
    <w:p>
      <w:pPr>
        <w:ind w:firstLine="440" w:firstLineChars="200"/>
        <w:rPr>
          <w:rFonts w:ascii="微软雅黑" w:hAnsi="微软雅黑" w:eastAsia="微软雅黑"/>
          <w:b/>
          <w:bCs/>
          <w:kern w:val="0"/>
          <w:sz w:val="22"/>
        </w:rPr>
      </w:pPr>
      <w:r>
        <w:rPr>
          <w:rFonts w:hint="eastAsia" w:ascii="微软雅黑" w:hAnsi="微软雅黑" w:eastAsia="微软雅黑"/>
          <w:b/>
          <w:bCs/>
          <w:kern w:val="0"/>
          <w:sz w:val="22"/>
        </w:rPr>
        <w:t>（二）决算单位构成。</w:t>
      </w:r>
    </w:p>
    <w:p>
      <w:pPr>
        <w:ind w:firstLine="440" w:firstLineChars="200"/>
        <w:rPr>
          <w:rFonts w:ascii="微软雅黑" w:hAnsi="微软雅黑" w:eastAsia="微软雅黑" w:cs="宋体"/>
          <w:sz w:val="22"/>
        </w:rPr>
      </w:pPr>
      <w:r>
        <w:rPr>
          <w:rFonts w:hint="eastAsia" w:ascii="微软雅黑" w:hAnsi="微软雅黑" w:eastAsia="微软雅黑" w:cs="宋体"/>
          <w:sz w:val="22"/>
        </w:rPr>
        <w:t>永州市回龙圩管理区农业委员会2021</w:t>
      </w:r>
      <w:r>
        <w:rPr>
          <w:rFonts w:ascii="微软雅黑" w:hAnsi="微软雅黑" w:eastAsia="微软雅黑" w:cs="宋体"/>
          <w:sz w:val="22"/>
        </w:rPr>
        <w:t>年</w:t>
      </w:r>
      <w:r>
        <w:rPr>
          <w:rFonts w:hint="eastAsia" w:ascii="微软雅黑" w:hAnsi="微软雅黑" w:eastAsia="微软雅黑" w:cs="宋体"/>
          <w:sz w:val="22"/>
        </w:rPr>
        <w:t>度</w:t>
      </w:r>
      <w:r>
        <w:rPr>
          <w:rFonts w:ascii="微软雅黑" w:hAnsi="微软雅黑" w:eastAsia="微软雅黑" w:cs="宋体"/>
          <w:sz w:val="22"/>
        </w:rPr>
        <w:t>部门决算汇总公开单位构成包括</w:t>
      </w:r>
      <w:r>
        <w:rPr>
          <w:rFonts w:hint="eastAsia" w:ascii="微软雅黑" w:hAnsi="微软雅黑" w:eastAsia="微软雅黑" w:cs="宋体"/>
          <w:sz w:val="22"/>
        </w:rPr>
        <w:t>以下部门</w:t>
      </w:r>
      <w:r>
        <w:rPr>
          <w:rFonts w:ascii="微软雅黑" w:hAnsi="微软雅黑" w:eastAsia="微软雅黑" w:cs="宋体"/>
          <w:sz w:val="22"/>
        </w:rPr>
        <w:t>：</w:t>
      </w:r>
      <w:r>
        <w:rPr>
          <w:rFonts w:hint="eastAsia" w:ascii="微软雅黑" w:hAnsi="微软雅黑" w:eastAsia="微软雅黑" w:cs="宋体"/>
          <w:sz w:val="22"/>
        </w:rPr>
        <w:t>回龙圩管理区农业委员会部门，回龙圩管理区水利水电部门，回龙圩管理区林业部门，回龙圩管理区扶贫开发办公室，回龙圩管理区移民开发办公室，回龙圩管理区农业综合开发办公室，回龙圩管理区农村经营管理部门</w:t>
      </w:r>
    </w:p>
    <w:p>
      <w:pPr>
        <w:widowControl/>
        <w:spacing w:line="600" w:lineRule="exact"/>
        <w:rPr>
          <w:rFonts w:ascii="微软雅黑" w:hAnsi="微软雅黑" w:eastAsia="微软雅黑"/>
          <w:b/>
          <w:bCs/>
          <w:kern w:val="0"/>
          <w:sz w:val="22"/>
        </w:rPr>
      </w:pPr>
      <w:r>
        <w:rPr>
          <w:rFonts w:hint="eastAsia" w:ascii="微软雅黑" w:hAnsi="微软雅黑" w:eastAsia="微软雅黑"/>
          <w:b/>
          <w:bCs/>
          <w:kern w:val="0"/>
          <w:sz w:val="22"/>
        </w:rPr>
        <w:t>第二部分 永州市回龙圩管理区农业委员会2021</w:t>
      </w:r>
      <w:r>
        <w:rPr>
          <w:rFonts w:ascii="微软雅黑" w:hAnsi="微软雅黑" w:eastAsia="微软雅黑"/>
          <w:b/>
          <w:bCs/>
          <w:kern w:val="0"/>
          <w:sz w:val="22"/>
        </w:rPr>
        <w:t>年</w:t>
      </w:r>
      <w:r>
        <w:rPr>
          <w:rFonts w:hint="eastAsia" w:ascii="微软雅黑" w:hAnsi="微软雅黑" w:eastAsia="微软雅黑"/>
          <w:b/>
          <w:bCs/>
          <w:kern w:val="0"/>
          <w:sz w:val="22"/>
        </w:rPr>
        <w:t>度部门决算表</w:t>
      </w:r>
    </w:p>
    <w:p>
      <w:pPr>
        <w:widowControl/>
        <w:spacing w:line="600" w:lineRule="exact"/>
        <w:rPr>
          <w:rFonts w:ascii="微软雅黑" w:hAnsi="微软雅黑" w:eastAsia="微软雅黑"/>
          <w:bCs/>
          <w:kern w:val="0"/>
          <w:sz w:val="22"/>
        </w:rPr>
      </w:pPr>
      <w:r>
        <w:rPr>
          <w:rFonts w:hint="eastAsia" w:ascii="微软雅黑" w:hAnsi="微软雅黑" w:eastAsia="微软雅黑"/>
          <w:bCs/>
          <w:kern w:val="0"/>
          <w:sz w:val="22"/>
        </w:rPr>
        <w:t>（公开表格附后）</w:t>
      </w:r>
    </w:p>
    <w:p>
      <w:pPr>
        <w:widowControl/>
        <w:spacing w:line="600" w:lineRule="exact"/>
        <w:rPr>
          <w:rFonts w:ascii="微软雅黑" w:hAnsi="微软雅黑" w:eastAsia="微软雅黑"/>
          <w:b/>
          <w:bCs/>
          <w:kern w:val="0"/>
          <w:sz w:val="22"/>
        </w:rPr>
      </w:pPr>
      <w:r>
        <w:rPr>
          <w:rFonts w:hint="eastAsia" w:ascii="微软雅黑" w:hAnsi="微软雅黑" w:eastAsia="微软雅黑"/>
          <w:b/>
          <w:bCs/>
          <w:kern w:val="0"/>
          <w:sz w:val="22"/>
        </w:rPr>
        <w:t>第三部分2021年度部门决算情况说明</w:t>
      </w:r>
    </w:p>
    <w:p>
      <w:pPr>
        <w:pStyle w:val="12"/>
        <w:spacing w:line="600" w:lineRule="exact"/>
        <w:rPr>
          <w:rFonts w:ascii="微软雅黑" w:hAnsi="微软雅黑" w:eastAsia="微软雅黑" w:cs="Times New Roman"/>
          <w:b/>
          <w:color w:val="auto"/>
          <w:sz w:val="22"/>
          <w:szCs w:val="22"/>
        </w:rPr>
      </w:pPr>
      <w:r>
        <w:rPr>
          <w:rFonts w:hint="eastAsia" w:ascii="微软雅黑" w:hAnsi="微软雅黑" w:eastAsia="微软雅黑" w:cs="Times New Roman"/>
          <w:b/>
          <w:color w:val="auto"/>
          <w:sz w:val="22"/>
          <w:szCs w:val="22"/>
        </w:rPr>
        <w:t>一、收入支出决算总体情况说明</w:t>
      </w:r>
    </w:p>
    <w:p>
      <w:pPr>
        <w:pStyle w:val="12"/>
        <w:ind w:firstLine="440" w:firstLineChars="200"/>
        <w:rPr>
          <w:rFonts w:ascii="微软雅黑" w:hAnsi="微软雅黑" w:eastAsia="微软雅黑" w:cs="Times New Roman"/>
          <w:bCs/>
          <w:color w:val="auto"/>
          <w:sz w:val="22"/>
          <w:szCs w:val="22"/>
          <w:u w:val="dotDash" w:color="FFFFFF" w:themeColor="background1"/>
        </w:rPr>
      </w:pPr>
      <w:r>
        <w:rPr>
          <w:rFonts w:hint="eastAsia" w:ascii="微软雅黑" w:hAnsi="微软雅黑" w:eastAsia="微软雅黑" w:cs="Times New Roman"/>
          <w:bCs/>
          <w:color w:val="auto"/>
          <w:sz w:val="22"/>
          <w:szCs w:val="22"/>
          <w:u w:val="dotDash" w:color="FFFFFF" w:themeColor="background1"/>
        </w:rPr>
        <w:t>2021年度</w:t>
      </w:r>
      <w:r>
        <w:rPr>
          <w:rFonts w:ascii="微软雅黑" w:hAnsi="微软雅黑" w:eastAsia="微软雅黑" w:cs="Times New Roman"/>
          <w:color w:val="auto"/>
          <w:sz w:val="22"/>
          <w:szCs w:val="22"/>
          <w:u w:val="dotDash" w:color="FFFFFF" w:themeColor="background1"/>
        </w:rPr>
        <w:t>收支</w:t>
      </w:r>
      <w:r>
        <w:rPr>
          <w:rFonts w:hint="eastAsia" w:ascii="微软雅黑" w:hAnsi="微软雅黑" w:eastAsia="微软雅黑" w:cs="Times New Roman"/>
          <w:bCs/>
          <w:color w:val="auto"/>
          <w:sz w:val="22"/>
          <w:szCs w:val="22"/>
          <w:u w:val="dotDash" w:color="FFFFFF" w:themeColor="background1"/>
        </w:rPr>
        <w:t>出均是1174.5</w:t>
      </w:r>
      <w:r>
        <w:rPr>
          <w:rFonts w:ascii="微软雅黑" w:hAnsi="微软雅黑" w:eastAsia="微软雅黑" w:cs="Times New Roman"/>
          <w:bCs/>
          <w:color w:val="auto"/>
          <w:sz w:val="22"/>
          <w:szCs w:val="22"/>
          <w:u w:val="dotDash" w:color="FFFFFF" w:themeColor="background1"/>
        </w:rPr>
        <w:t>万元</w:t>
      </w:r>
      <w:r>
        <w:rPr>
          <w:rFonts w:hint="eastAsia" w:ascii="微软雅黑" w:hAnsi="微软雅黑" w:eastAsia="微软雅黑" w:cs="Times New Roman"/>
          <w:bCs/>
          <w:color w:val="auto"/>
          <w:sz w:val="22"/>
          <w:szCs w:val="22"/>
          <w:u w:val="dotDash" w:color="FFFFFF" w:themeColor="background1"/>
        </w:rPr>
        <w:t>和1174.5</w:t>
      </w:r>
      <w:r>
        <w:rPr>
          <w:rFonts w:ascii="微软雅黑" w:hAnsi="微软雅黑" w:eastAsia="微软雅黑" w:cs="Times New Roman"/>
          <w:bCs/>
          <w:color w:val="auto"/>
          <w:sz w:val="22"/>
          <w:szCs w:val="22"/>
          <w:u w:val="dotDash" w:color="FFFFFF" w:themeColor="background1"/>
        </w:rPr>
        <w:t>万元。与20</w:t>
      </w:r>
      <w:r>
        <w:rPr>
          <w:rFonts w:hint="eastAsia" w:ascii="微软雅黑" w:hAnsi="微软雅黑" w:eastAsia="微软雅黑" w:cs="Times New Roman"/>
          <w:bCs/>
          <w:color w:val="auto"/>
          <w:sz w:val="22"/>
          <w:szCs w:val="22"/>
          <w:u w:val="dotDash" w:color="FFFFFF" w:themeColor="background1"/>
        </w:rPr>
        <w:t>20</w:t>
      </w:r>
      <w:r>
        <w:rPr>
          <w:rFonts w:ascii="微软雅黑" w:hAnsi="微软雅黑" w:eastAsia="微软雅黑" w:cs="Times New Roman"/>
          <w:bCs/>
          <w:color w:val="auto"/>
          <w:sz w:val="22"/>
          <w:szCs w:val="22"/>
          <w:u w:val="dotDash" w:color="FFFFFF" w:themeColor="background1"/>
        </w:rPr>
        <w:t>年</w:t>
      </w:r>
      <w:r>
        <w:rPr>
          <w:rFonts w:hint="eastAsia" w:ascii="微软雅黑" w:hAnsi="微软雅黑" w:eastAsia="微软雅黑" w:cs="Times New Roman"/>
          <w:bCs/>
          <w:color w:val="auto"/>
          <w:sz w:val="22"/>
          <w:szCs w:val="22"/>
          <w:u w:val="dotDash" w:color="FFFFFF" w:themeColor="background1"/>
        </w:rPr>
        <w:t>2428.69万元</w:t>
      </w:r>
      <w:r>
        <w:rPr>
          <w:rFonts w:ascii="微软雅黑" w:hAnsi="微软雅黑" w:eastAsia="微软雅黑" w:cs="Times New Roman"/>
          <w:bCs/>
          <w:color w:val="auto"/>
          <w:sz w:val="22"/>
          <w:szCs w:val="22"/>
          <w:u w:val="dotDash" w:color="FFFFFF" w:themeColor="background1"/>
        </w:rPr>
        <w:t>相比，</w:t>
      </w:r>
      <w:r>
        <w:rPr>
          <w:rFonts w:hint="eastAsia" w:ascii="微软雅黑" w:hAnsi="微软雅黑" w:eastAsia="微软雅黑" w:cs="Times New Roman"/>
          <w:bCs/>
          <w:color w:val="auto"/>
          <w:sz w:val="22"/>
          <w:szCs w:val="22"/>
          <w:u w:val="dotDash" w:color="FFFFFF" w:themeColor="background1"/>
        </w:rPr>
        <w:t>收入减少1254.19</w:t>
      </w:r>
      <w:r>
        <w:rPr>
          <w:rFonts w:ascii="微软雅黑" w:hAnsi="微软雅黑" w:eastAsia="微软雅黑" w:cs="Times New Roman"/>
          <w:bCs/>
          <w:color w:val="auto"/>
          <w:sz w:val="22"/>
          <w:szCs w:val="22"/>
          <w:u w:val="dotDash" w:color="FFFFFF" w:themeColor="background1"/>
        </w:rPr>
        <w:t>万元，</w:t>
      </w:r>
      <w:r>
        <w:rPr>
          <w:rFonts w:hint="eastAsia" w:ascii="微软雅黑" w:hAnsi="微软雅黑" w:eastAsia="微软雅黑" w:cs="Times New Roman"/>
          <w:bCs/>
          <w:color w:val="auto"/>
          <w:sz w:val="22"/>
          <w:szCs w:val="22"/>
          <w:u w:val="dotDash" w:color="FFFFFF" w:themeColor="background1"/>
        </w:rPr>
        <w:t>减少51.6</w:t>
      </w:r>
      <w:r>
        <w:rPr>
          <w:rFonts w:ascii="微软雅黑" w:hAnsi="微软雅黑" w:eastAsia="微软雅黑" w:cs="Times New Roman"/>
          <w:bCs/>
          <w:color w:val="auto"/>
          <w:sz w:val="22"/>
          <w:szCs w:val="22"/>
          <w:u w:val="dotDash" w:color="FFFFFF" w:themeColor="background1"/>
        </w:rPr>
        <w:t>%</w:t>
      </w:r>
      <w:r>
        <w:rPr>
          <w:rFonts w:hint="eastAsia" w:ascii="微软雅黑" w:hAnsi="微软雅黑" w:eastAsia="微软雅黑" w:cs="Times New Roman"/>
          <w:bCs/>
          <w:color w:val="auto"/>
          <w:sz w:val="22"/>
          <w:szCs w:val="22"/>
          <w:u w:val="dotDash" w:color="FFFFFF" w:themeColor="background1"/>
        </w:rPr>
        <w:t>，减少</w:t>
      </w:r>
      <w:r>
        <w:rPr>
          <w:rFonts w:ascii="微软雅黑" w:hAnsi="微软雅黑" w:eastAsia="微软雅黑" w:cs="Times New Roman"/>
          <w:bCs/>
          <w:color w:val="auto"/>
          <w:sz w:val="22"/>
          <w:szCs w:val="22"/>
          <w:u w:val="dotDash" w:color="FFFFFF" w:themeColor="background1"/>
        </w:rPr>
        <w:t>主要是因为</w:t>
      </w:r>
      <w:r>
        <w:rPr>
          <w:rFonts w:hint="eastAsia" w:ascii="微软雅黑" w:hAnsi="微软雅黑" w:eastAsia="微软雅黑" w:cs="Times New Roman"/>
          <w:bCs/>
          <w:color w:val="auto"/>
          <w:sz w:val="22"/>
          <w:szCs w:val="22"/>
          <w:u w:val="dotDash" w:color="FFFFFF" w:themeColor="background1"/>
        </w:rPr>
        <w:t>水利部门的债券资金扶贫项目资金减少。与上年3377.63万元相比支出减少2203.13</w:t>
      </w:r>
      <w:r>
        <w:rPr>
          <w:rFonts w:ascii="微软雅黑" w:hAnsi="微软雅黑" w:eastAsia="微软雅黑" w:cs="Times New Roman"/>
          <w:bCs/>
          <w:color w:val="auto"/>
          <w:sz w:val="22"/>
          <w:szCs w:val="22"/>
          <w:u w:val="dotDash" w:color="FFFFFF" w:themeColor="background1"/>
        </w:rPr>
        <w:t>万元</w:t>
      </w:r>
      <w:r>
        <w:rPr>
          <w:rFonts w:hint="eastAsia" w:ascii="微软雅黑" w:hAnsi="微软雅黑" w:eastAsia="微软雅黑" w:cs="Times New Roman"/>
          <w:bCs/>
          <w:color w:val="auto"/>
          <w:sz w:val="22"/>
          <w:szCs w:val="22"/>
          <w:u w:val="dotDash" w:color="FFFFFF" w:themeColor="background1"/>
        </w:rPr>
        <w:t>，减少65.2%，减少</w:t>
      </w:r>
      <w:r>
        <w:rPr>
          <w:rFonts w:ascii="微软雅黑" w:hAnsi="微软雅黑" w:eastAsia="微软雅黑" w:cs="Times New Roman"/>
          <w:bCs/>
          <w:color w:val="auto"/>
          <w:sz w:val="22"/>
          <w:szCs w:val="22"/>
          <w:u w:val="dotDash" w:color="FFFFFF" w:themeColor="background1"/>
        </w:rPr>
        <w:t>主要是因为</w:t>
      </w:r>
      <w:r>
        <w:rPr>
          <w:rFonts w:hint="eastAsia" w:ascii="微软雅黑" w:hAnsi="微软雅黑" w:eastAsia="微软雅黑" w:cs="Times New Roman"/>
          <w:bCs/>
          <w:color w:val="auto"/>
          <w:sz w:val="22"/>
          <w:szCs w:val="22"/>
          <w:u w:val="dotDash" w:color="FFFFFF" w:themeColor="background1"/>
        </w:rPr>
        <w:t>无上年项目资金结存，加之今年减少了上级拨入的水利债券资金。</w:t>
      </w:r>
    </w:p>
    <w:p>
      <w:pPr>
        <w:pStyle w:val="12"/>
        <w:spacing w:line="600" w:lineRule="exact"/>
        <w:rPr>
          <w:rFonts w:ascii="微软雅黑" w:hAnsi="微软雅黑" w:eastAsia="微软雅黑" w:cs="Times New Roman"/>
          <w:b/>
          <w:color w:val="auto"/>
          <w:sz w:val="22"/>
          <w:szCs w:val="22"/>
          <w:u w:val="dotDash" w:color="FFFFFF" w:themeColor="background1"/>
        </w:rPr>
      </w:pPr>
      <w:r>
        <w:rPr>
          <w:rFonts w:ascii="微软雅黑" w:hAnsi="微软雅黑" w:eastAsia="微软雅黑" w:cs="Times New Roman"/>
          <w:b/>
          <w:color w:val="auto"/>
          <w:sz w:val="22"/>
          <w:szCs w:val="22"/>
          <w:u w:val="dotDash" w:color="FFFFFF" w:themeColor="background1"/>
        </w:rPr>
        <w:t>二、收入决算情况说明</w:t>
      </w:r>
    </w:p>
    <w:p>
      <w:pPr>
        <w:pStyle w:val="12"/>
        <w:ind w:firstLine="440" w:firstLineChars="200"/>
        <w:rPr>
          <w:rFonts w:ascii="微软雅黑" w:hAnsi="微软雅黑" w:eastAsia="微软雅黑" w:cs="Times New Roman"/>
          <w:color w:val="auto"/>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本年收入合计1174.5万元，其中：财政拨款收入1143.1万元，占97.3%；政府性基金预算财政拨款收入31.4万元，占2.7%；</w:t>
      </w:r>
      <w:r>
        <w:rPr>
          <w:rFonts w:ascii="微软雅黑" w:hAnsi="微软雅黑" w:eastAsia="微软雅黑" w:cs="Times New Roman"/>
          <w:color w:val="auto"/>
          <w:sz w:val="22"/>
          <w:szCs w:val="22"/>
          <w:u w:val="dotDash" w:color="FFFFFF" w:themeColor="background1"/>
        </w:rPr>
        <w:t>上级补助收入</w:t>
      </w:r>
      <w:r>
        <w:rPr>
          <w:rFonts w:hint="eastAsia" w:ascii="微软雅黑" w:hAnsi="微软雅黑" w:eastAsia="微软雅黑" w:cs="Times New Roman"/>
          <w:color w:val="auto"/>
          <w:sz w:val="22"/>
          <w:szCs w:val="22"/>
          <w:u w:val="dotDash" w:color="FFFFFF" w:themeColor="background1"/>
        </w:rPr>
        <w:t>0</w:t>
      </w:r>
      <w:r>
        <w:rPr>
          <w:rFonts w:ascii="微软雅黑" w:hAnsi="微软雅黑" w:eastAsia="微软雅黑" w:cs="Times New Roman"/>
          <w:color w:val="auto"/>
          <w:sz w:val="22"/>
          <w:szCs w:val="22"/>
          <w:u w:val="dotDash" w:color="FFFFFF" w:themeColor="background1"/>
        </w:rPr>
        <w:t>万元，占</w:t>
      </w:r>
      <w:r>
        <w:rPr>
          <w:rFonts w:hint="eastAsia" w:ascii="微软雅黑" w:hAnsi="微软雅黑" w:eastAsia="微软雅黑" w:cs="Times New Roman"/>
          <w:color w:val="auto"/>
          <w:sz w:val="22"/>
          <w:szCs w:val="22"/>
          <w:u w:val="dotDash" w:color="FFFFFF" w:themeColor="background1"/>
        </w:rPr>
        <w:t>0</w:t>
      </w:r>
      <w:r>
        <w:rPr>
          <w:rFonts w:ascii="微软雅黑" w:hAnsi="微软雅黑" w:eastAsia="微软雅黑" w:cs="Times New Roman"/>
          <w:color w:val="auto"/>
          <w:sz w:val="22"/>
          <w:szCs w:val="22"/>
          <w:u w:val="dotDash" w:color="FFFFFF" w:themeColor="background1"/>
        </w:rPr>
        <w:t>%；事业收入</w:t>
      </w:r>
      <w:r>
        <w:rPr>
          <w:rFonts w:hint="eastAsia" w:ascii="微软雅黑" w:hAnsi="微软雅黑" w:eastAsia="微软雅黑" w:cs="Times New Roman"/>
          <w:color w:val="auto"/>
          <w:sz w:val="22"/>
          <w:szCs w:val="22"/>
          <w:u w:val="dotDash" w:color="FFFFFF" w:themeColor="background1"/>
        </w:rPr>
        <w:t>0</w:t>
      </w:r>
      <w:r>
        <w:rPr>
          <w:rFonts w:ascii="微软雅黑" w:hAnsi="微软雅黑" w:eastAsia="微软雅黑" w:cs="Times New Roman"/>
          <w:color w:val="auto"/>
          <w:sz w:val="22"/>
          <w:szCs w:val="22"/>
          <w:u w:val="dotDash" w:color="FFFFFF" w:themeColor="background1"/>
        </w:rPr>
        <w:t>万元，占</w:t>
      </w:r>
      <w:r>
        <w:rPr>
          <w:rFonts w:hint="eastAsia" w:ascii="微软雅黑" w:hAnsi="微软雅黑" w:eastAsia="微软雅黑" w:cs="Times New Roman"/>
          <w:color w:val="auto"/>
          <w:sz w:val="22"/>
          <w:szCs w:val="22"/>
          <w:u w:val="dotDash" w:color="FFFFFF" w:themeColor="background1"/>
        </w:rPr>
        <w:t>0</w:t>
      </w:r>
      <w:r>
        <w:rPr>
          <w:rFonts w:ascii="微软雅黑" w:hAnsi="微软雅黑" w:eastAsia="微软雅黑" w:cs="Times New Roman"/>
          <w:color w:val="auto"/>
          <w:sz w:val="22"/>
          <w:szCs w:val="22"/>
          <w:u w:val="dotDash" w:color="FFFFFF" w:themeColor="background1"/>
        </w:rPr>
        <w:t>%；经营收入</w:t>
      </w:r>
      <w:r>
        <w:rPr>
          <w:rFonts w:hint="eastAsia" w:ascii="微软雅黑" w:hAnsi="微软雅黑" w:eastAsia="微软雅黑" w:cs="Times New Roman"/>
          <w:color w:val="auto"/>
          <w:sz w:val="22"/>
          <w:szCs w:val="22"/>
          <w:u w:val="dotDash" w:color="FFFFFF" w:themeColor="background1"/>
        </w:rPr>
        <w:t>0</w:t>
      </w:r>
      <w:r>
        <w:rPr>
          <w:rFonts w:ascii="微软雅黑" w:hAnsi="微软雅黑" w:eastAsia="微软雅黑" w:cs="Times New Roman"/>
          <w:color w:val="auto"/>
          <w:sz w:val="22"/>
          <w:szCs w:val="22"/>
          <w:u w:val="dotDash" w:color="FFFFFF" w:themeColor="background1"/>
        </w:rPr>
        <w:t>万元，占</w:t>
      </w:r>
      <w:r>
        <w:rPr>
          <w:rFonts w:hint="eastAsia" w:ascii="微软雅黑" w:hAnsi="微软雅黑" w:eastAsia="微软雅黑" w:cs="Times New Roman"/>
          <w:color w:val="auto"/>
          <w:sz w:val="22"/>
          <w:szCs w:val="22"/>
          <w:u w:val="dotDash" w:color="FFFFFF" w:themeColor="background1"/>
        </w:rPr>
        <w:t>0</w:t>
      </w:r>
      <w:r>
        <w:rPr>
          <w:rFonts w:ascii="微软雅黑" w:hAnsi="微软雅黑" w:eastAsia="微软雅黑" w:cs="Times New Roman"/>
          <w:color w:val="auto"/>
          <w:sz w:val="22"/>
          <w:szCs w:val="22"/>
          <w:u w:val="dotDash" w:color="FFFFFF" w:themeColor="background1"/>
        </w:rPr>
        <w:t>%；附属单位上缴收入</w:t>
      </w:r>
      <w:r>
        <w:rPr>
          <w:rFonts w:hint="eastAsia" w:ascii="微软雅黑" w:hAnsi="微软雅黑" w:eastAsia="微软雅黑" w:cs="Times New Roman"/>
          <w:color w:val="auto"/>
          <w:sz w:val="22"/>
          <w:szCs w:val="22"/>
          <w:u w:val="dotDash" w:color="FFFFFF" w:themeColor="background1"/>
        </w:rPr>
        <w:t>0</w:t>
      </w:r>
      <w:r>
        <w:rPr>
          <w:rFonts w:ascii="微软雅黑" w:hAnsi="微软雅黑" w:eastAsia="微软雅黑" w:cs="Times New Roman"/>
          <w:color w:val="auto"/>
          <w:sz w:val="22"/>
          <w:szCs w:val="22"/>
          <w:u w:val="dotDash" w:color="FFFFFF" w:themeColor="background1"/>
        </w:rPr>
        <w:t>万元，占</w:t>
      </w:r>
      <w:r>
        <w:rPr>
          <w:rFonts w:hint="eastAsia" w:ascii="微软雅黑" w:hAnsi="微软雅黑" w:eastAsia="微软雅黑" w:cs="Times New Roman"/>
          <w:color w:val="auto"/>
          <w:sz w:val="22"/>
          <w:szCs w:val="22"/>
          <w:u w:val="dotDash" w:color="FFFFFF" w:themeColor="background1"/>
        </w:rPr>
        <w:t>0</w:t>
      </w:r>
      <w:r>
        <w:rPr>
          <w:rFonts w:ascii="微软雅黑" w:hAnsi="微软雅黑" w:eastAsia="微软雅黑" w:cs="Times New Roman"/>
          <w:color w:val="auto"/>
          <w:sz w:val="22"/>
          <w:szCs w:val="22"/>
          <w:u w:val="dotDash" w:color="FFFFFF" w:themeColor="background1"/>
        </w:rPr>
        <w:t>%；</w:t>
      </w:r>
      <w:r>
        <w:rPr>
          <w:rFonts w:hint="eastAsia" w:ascii="微软雅黑" w:hAnsi="微软雅黑" w:eastAsia="微软雅黑" w:cs="Times New Roman"/>
          <w:color w:val="auto"/>
          <w:sz w:val="22"/>
          <w:szCs w:val="22"/>
          <w:u w:val="dotDash" w:color="FFFFFF" w:themeColor="background1"/>
        </w:rPr>
        <w:t>其他收入0万元，占0%。</w:t>
      </w:r>
    </w:p>
    <w:p>
      <w:pPr>
        <w:pStyle w:val="12"/>
        <w:rPr>
          <w:rFonts w:ascii="微软雅黑" w:hAnsi="微软雅黑" w:eastAsia="微软雅黑" w:cs="Times New Roman"/>
          <w:b/>
          <w:color w:val="auto"/>
          <w:sz w:val="22"/>
          <w:szCs w:val="22"/>
          <w:u w:val="dotDash" w:color="FFFFFF" w:themeColor="background1"/>
        </w:rPr>
      </w:pPr>
      <w:r>
        <w:rPr>
          <w:rFonts w:hint="eastAsia" w:ascii="微软雅黑" w:hAnsi="微软雅黑" w:eastAsia="微软雅黑" w:cs="Times New Roman"/>
          <w:b/>
          <w:color w:val="auto"/>
          <w:sz w:val="22"/>
          <w:szCs w:val="22"/>
          <w:u w:val="dotDash" w:color="FFFFFF" w:themeColor="background1"/>
        </w:rPr>
        <w:t>三、支出决算情况说明</w:t>
      </w:r>
    </w:p>
    <w:p>
      <w:pPr>
        <w:pStyle w:val="12"/>
        <w:ind w:firstLine="440" w:firstLineChars="200"/>
        <w:rPr>
          <w:rFonts w:ascii="微软雅黑" w:hAnsi="微软雅黑" w:eastAsia="微软雅黑" w:cs="Times New Roman"/>
          <w:bCs/>
          <w:color w:val="auto"/>
          <w:sz w:val="22"/>
          <w:szCs w:val="22"/>
          <w:u w:val="dotDash" w:color="FFFFFF" w:themeColor="background1"/>
        </w:rPr>
      </w:pPr>
      <w:r>
        <w:rPr>
          <w:rFonts w:hint="eastAsia" w:ascii="微软雅黑" w:hAnsi="微软雅黑" w:eastAsia="微软雅黑" w:cs="Times New Roman"/>
          <w:bCs/>
          <w:color w:val="auto"/>
          <w:sz w:val="22"/>
          <w:szCs w:val="22"/>
          <w:u w:val="dotDash" w:color="FFFFFF" w:themeColor="background1"/>
        </w:rPr>
        <w:t>本年支出合计1174.5万元，其中：基本支出910.5万元，占77.5%;项目支出264万元,占22.5%。</w:t>
      </w:r>
      <w:r>
        <w:rPr>
          <w:rFonts w:ascii="微软雅黑" w:hAnsi="微软雅黑" w:eastAsia="微软雅黑" w:cs="Times New Roman"/>
          <w:bCs/>
          <w:color w:val="auto"/>
          <w:sz w:val="22"/>
          <w:szCs w:val="22"/>
          <w:u w:val="dotDash" w:color="FFFFFF" w:themeColor="background1"/>
        </w:rPr>
        <w:t>上缴上级支出</w:t>
      </w:r>
      <w:r>
        <w:rPr>
          <w:rFonts w:hint="eastAsia" w:ascii="微软雅黑" w:hAnsi="微软雅黑" w:eastAsia="微软雅黑" w:cs="Times New Roman"/>
          <w:bCs/>
          <w:color w:val="auto"/>
          <w:sz w:val="22"/>
          <w:szCs w:val="22"/>
          <w:u w:val="dotDash" w:color="FFFFFF" w:themeColor="background1"/>
        </w:rPr>
        <w:t>0</w:t>
      </w:r>
      <w:r>
        <w:rPr>
          <w:rFonts w:ascii="微软雅黑" w:hAnsi="微软雅黑" w:eastAsia="微软雅黑" w:cs="Times New Roman"/>
          <w:bCs/>
          <w:color w:val="auto"/>
          <w:sz w:val="22"/>
          <w:szCs w:val="22"/>
          <w:u w:val="dotDash" w:color="FFFFFF" w:themeColor="background1"/>
        </w:rPr>
        <w:t>万元，占</w:t>
      </w:r>
      <w:r>
        <w:rPr>
          <w:rFonts w:hint="eastAsia" w:ascii="微软雅黑" w:hAnsi="微软雅黑" w:eastAsia="微软雅黑" w:cs="Times New Roman"/>
          <w:bCs/>
          <w:color w:val="auto"/>
          <w:sz w:val="22"/>
          <w:szCs w:val="22"/>
          <w:u w:val="dotDash" w:color="FFFFFF" w:themeColor="background1"/>
        </w:rPr>
        <w:t>0</w:t>
      </w:r>
      <w:r>
        <w:rPr>
          <w:rFonts w:ascii="微软雅黑" w:hAnsi="微软雅黑" w:eastAsia="微软雅黑" w:cs="Times New Roman"/>
          <w:bCs/>
          <w:color w:val="auto"/>
          <w:sz w:val="22"/>
          <w:szCs w:val="22"/>
          <w:u w:val="dotDash" w:color="FFFFFF" w:themeColor="background1"/>
        </w:rPr>
        <w:t xml:space="preserve"> %；经营支出 </w:t>
      </w:r>
      <w:r>
        <w:rPr>
          <w:rFonts w:hint="eastAsia" w:ascii="微软雅黑" w:hAnsi="微软雅黑" w:eastAsia="微软雅黑" w:cs="Times New Roman"/>
          <w:bCs/>
          <w:color w:val="auto"/>
          <w:sz w:val="22"/>
          <w:szCs w:val="22"/>
          <w:u w:val="dotDash" w:color="FFFFFF" w:themeColor="background1"/>
        </w:rPr>
        <w:t>0</w:t>
      </w:r>
      <w:r>
        <w:rPr>
          <w:rFonts w:ascii="微软雅黑" w:hAnsi="微软雅黑" w:eastAsia="微软雅黑" w:cs="Times New Roman"/>
          <w:bCs/>
          <w:color w:val="auto"/>
          <w:sz w:val="22"/>
          <w:szCs w:val="22"/>
          <w:u w:val="dotDash" w:color="FFFFFF" w:themeColor="background1"/>
        </w:rPr>
        <w:t>万元，占</w:t>
      </w:r>
      <w:r>
        <w:rPr>
          <w:rFonts w:hint="eastAsia" w:ascii="微软雅黑" w:hAnsi="微软雅黑" w:eastAsia="微软雅黑" w:cs="Times New Roman"/>
          <w:bCs/>
          <w:color w:val="auto"/>
          <w:sz w:val="22"/>
          <w:szCs w:val="22"/>
          <w:u w:val="dotDash" w:color="FFFFFF" w:themeColor="background1"/>
        </w:rPr>
        <w:t>0</w:t>
      </w:r>
      <w:r>
        <w:rPr>
          <w:rFonts w:ascii="微软雅黑" w:hAnsi="微软雅黑" w:eastAsia="微软雅黑" w:cs="Times New Roman"/>
          <w:bCs/>
          <w:color w:val="auto"/>
          <w:sz w:val="22"/>
          <w:szCs w:val="22"/>
          <w:u w:val="dotDash" w:color="FFFFFF" w:themeColor="background1"/>
        </w:rPr>
        <w:t xml:space="preserve"> %；对附属单位补助支出 </w:t>
      </w:r>
      <w:r>
        <w:rPr>
          <w:rFonts w:hint="eastAsia" w:ascii="微软雅黑" w:hAnsi="微软雅黑" w:eastAsia="微软雅黑" w:cs="Times New Roman"/>
          <w:bCs/>
          <w:color w:val="auto"/>
          <w:sz w:val="22"/>
          <w:szCs w:val="22"/>
          <w:u w:val="dotDash" w:color="FFFFFF" w:themeColor="background1"/>
        </w:rPr>
        <w:t>0</w:t>
      </w:r>
      <w:r>
        <w:rPr>
          <w:rFonts w:ascii="微软雅黑" w:hAnsi="微软雅黑" w:eastAsia="微软雅黑" w:cs="Times New Roman"/>
          <w:bCs/>
          <w:color w:val="auto"/>
          <w:sz w:val="22"/>
          <w:szCs w:val="22"/>
          <w:u w:val="dotDash" w:color="FFFFFF" w:themeColor="background1"/>
        </w:rPr>
        <w:t>万元，占</w:t>
      </w:r>
      <w:r>
        <w:rPr>
          <w:rFonts w:hint="eastAsia" w:ascii="微软雅黑" w:hAnsi="微软雅黑" w:eastAsia="微软雅黑" w:cs="Times New Roman"/>
          <w:bCs/>
          <w:color w:val="auto"/>
          <w:sz w:val="22"/>
          <w:szCs w:val="22"/>
          <w:u w:val="dotDash" w:color="FFFFFF" w:themeColor="background1"/>
        </w:rPr>
        <w:t>0</w:t>
      </w:r>
      <w:r>
        <w:rPr>
          <w:rFonts w:ascii="微软雅黑" w:hAnsi="微软雅黑" w:eastAsia="微软雅黑" w:cs="Times New Roman"/>
          <w:bCs/>
          <w:color w:val="auto"/>
          <w:sz w:val="22"/>
          <w:szCs w:val="22"/>
          <w:u w:val="dotDash" w:color="FFFFFF" w:themeColor="background1"/>
        </w:rPr>
        <w:t xml:space="preserve"> %。</w:t>
      </w:r>
    </w:p>
    <w:p>
      <w:pPr>
        <w:pStyle w:val="12"/>
        <w:rPr>
          <w:rFonts w:ascii="微软雅黑" w:hAnsi="微软雅黑" w:eastAsia="微软雅黑" w:cs="Times New Roman"/>
          <w:b/>
          <w:color w:val="auto"/>
          <w:sz w:val="22"/>
          <w:szCs w:val="22"/>
          <w:u w:val="dotDash" w:color="FFFFFF" w:themeColor="background1"/>
        </w:rPr>
      </w:pPr>
      <w:r>
        <w:rPr>
          <w:rFonts w:hint="eastAsia" w:ascii="微软雅黑" w:hAnsi="微软雅黑" w:eastAsia="微软雅黑" w:cs="Times New Roman"/>
          <w:b/>
          <w:color w:val="auto"/>
          <w:sz w:val="22"/>
          <w:szCs w:val="22"/>
          <w:u w:val="dotDash" w:color="FFFFFF" w:themeColor="background1"/>
        </w:rPr>
        <w:t>四、财政拨款收入支出决算总体情况说明</w:t>
      </w:r>
    </w:p>
    <w:p>
      <w:pPr>
        <w:pStyle w:val="12"/>
        <w:ind w:firstLine="440" w:firstLineChars="200"/>
        <w:rPr>
          <w:rFonts w:ascii="微软雅黑" w:hAnsi="微软雅黑" w:eastAsia="微软雅黑" w:cs="Times New Roman"/>
          <w:bCs/>
          <w:color w:val="auto"/>
          <w:sz w:val="22"/>
          <w:szCs w:val="22"/>
          <w:u w:val="dotDash" w:color="FFFFFF" w:themeColor="background1"/>
        </w:rPr>
      </w:pPr>
      <w:r>
        <w:rPr>
          <w:rFonts w:hint="eastAsia" w:ascii="微软雅黑" w:hAnsi="微软雅黑" w:eastAsia="微软雅黑" w:cs="Times New Roman"/>
          <w:bCs/>
          <w:color w:val="auto"/>
          <w:sz w:val="22"/>
          <w:szCs w:val="22"/>
          <w:u w:val="dotDash" w:color="FFFFFF" w:themeColor="background1"/>
        </w:rPr>
        <w:t>2021</w:t>
      </w:r>
      <w:r>
        <w:rPr>
          <w:rFonts w:ascii="微软雅黑" w:hAnsi="微软雅黑" w:eastAsia="微软雅黑" w:cs="Times New Roman"/>
          <w:bCs/>
          <w:color w:val="auto"/>
          <w:sz w:val="22"/>
          <w:szCs w:val="22"/>
          <w:u w:val="dotDash" w:color="FFFFFF" w:themeColor="background1"/>
        </w:rPr>
        <w:t>年度财政拨款收</w:t>
      </w:r>
      <w:r>
        <w:rPr>
          <w:rFonts w:hint="eastAsia" w:ascii="微软雅黑" w:hAnsi="微软雅黑" w:eastAsia="微软雅黑" w:cs="Times New Roman"/>
          <w:bCs/>
          <w:color w:val="auto"/>
          <w:sz w:val="22"/>
          <w:szCs w:val="22"/>
          <w:u w:val="dotDash" w:color="FFFFFF" w:themeColor="background1"/>
        </w:rPr>
        <w:t>入和</w:t>
      </w:r>
      <w:r>
        <w:rPr>
          <w:rFonts w:ascii="微软雅黑" w:hAnsi="微软雅黑" w:eastAsia="微软雅黑" w:cs="Times New Roman"/>
          <w:bCs/>
          <w:color w:val="auto"/>
          <w:sz w:val="22"/>
          <w:szCs w:val="22"/>
          <w:u w:val="dotDash" w:color="FFFFFF" w:themeColor="background1"/>
        </w:rPr>
        <w:t>支</w:t>
      </w:r>
      <w:r>
        <w:rPr>
          <w:rFonts w:hint="eastAsia" w:ascii="微软雅黑" w:hAnsi="微软雅黑" w:eastAsia="微软雅黑" w:cs="Times New Roman"/>
          <w:bCs/>
          <w:color w:val="auto"/>
          <w:sz w:val="22"/>
          <w:szCs w:val="22"/>
          <w:u w:val="dotDash" w:color="FFFFFF" w:themeColor="background1"/>
        </w:rPr>
        <w:t>出均为1174.53</w:t>
      </w:r>
      <w:r>
        <w:rPr>
          <w:rFonts w:ascii="微软雅黑" w:hAnsi="微软雅黑" w:eastAsia="微软雅黑" w:cs="Times New Roman"/>
          <w:bCs/>
          <w:color w:val="auto"/>
          <w:sz w:val="22"/>
          <w:szCs w:val="22"/>
          <w:u w:val="dotDash" w:color="FFFFFF" w:themeColor="background1"/>
        </w:rPr>
        <w:t>万元，与20</w:t>
      </w:r>
      <w:r>
        <w:rPr>
          <w:rFonts w:hint="eastAsia" w:ascii="微软雅黑" w:hAnsi="微软雅黑" w:eastAsia="微软雅黑" w:cs="Times New Roman"/>
          <w:bCs/>
          <w:color w:val="auto"/>
          <w:sz w:val="22"/>
          <w:szCs w:val="22"/>
          <w:u w:val="dotDash" w:color="FFFFFF" w:themeColor="background1"/>
        </w:rPr>
        <w:t>20</w:t>
      </w:r>
      <w:r>
        <w:rPr>
          <w:rFonts w:ascii="微软雅黑" w:hAnsi="微软雅黑" w:eastAsia="微软雅黑" w:cs="Times New Roman"/>
          <w:bCs/>
          <w:color w:val="auto"/>
          <w:sz w:val="22"/>
          <w:szCs w:val="22"/>
          <w:u w:val="dotDash" w:color="FFFFFF" w:themeColor="background1"/>
        </w:rPr>
        <w:t>年</w:t>
      </w:r>
      <w:r>
        <w:rPr>
          <w:rFonts w:hint="eastAsia" w:ascii="微软雅黑" w:hAnsi="微软雅黑" w:eastAsia="微软雅黑" w:cs="Times New Roman"/>
          <w:bCs/>
          <w:color w:val="auto"/>
          <w:sz w:val="22"/>
          <w:szCs w:val="22"/>
          <w:u w:val="dotDash" w:color="FFFFFF" w:themeColor="background1"/>
        </w:rPr>
        <w:t>2428.69万元</w:t>
      </w:r>
      <w:r>
        <w:rPr>
          <w:rFonts w:ascii="微软雅黑" w:hAnsi="微软雅黑" w:eastAsia="微软雅黑" w:cs="Times New Roman"/>
          <w:bCs/>
          <w:color w:val="auto"/>
          <w:sz w:val="22"/>
          <w:szCs w:val="22"/>
          <w:u w:val="dotDash" w:color="FFFFFF" w:themeColor="background1"/>
        </w:rPr>
        <w:t>相比，</w:t>
      </w:r>
      <w:r>
        <w:rPr>
          <w:rFonts w:hint="eastAsia" w:ascii="微软雅黑" w:hAnsi="微软雅黑" w:eastAsia="微软雅黑" w:cs="Times New Roman"/>
          <w:bCs/>
          <w:color w:val="auto"/>
          <w:sz w:val="22"/>
          <w:szCs w:val="22"/>
          <w:u w:val="dotDash" w:color="FFFFFF" w:themeColor="background1"/>
        </w:rPr>
        <w:t>收入减少1254.19</w:t>
      </w:r>
      <w:r>
        <w:rPr>
          <w:rFonts w:ascii="微软雅黑" w:hAnsi="微软雅黑" w:eastAsia="微软雅黑" w:cs="Times New Roman"/>
          <w:bCs/>
          <w:color w:val="auto"/>
          <w:sz w:val="22"/>
          <w:szCs w:val="22"/>
          <w:u w:val="dotDash" w:color="FFFFFF" w:themeColor="background1"/>
        </w:rPr>
        <w:t>万元，</w:t>
      </w:r>
      <w:r>
        <w:rPr>
          <w:rFonts w:hint="eastAsia" w:ascii="微软雅黑" w:hAnsi="微软雅黑" w:eastAsia="微软雅黑" w:cs="Times New Roman"/>
          <w:bCs/>
          <w:color w:val="auto"/>
          <w:sz w:val="22"/>
          <w:szCs w:val="22"/>
          <w:u w:val="dotDash" w:color="FFFFFF" w:themeColor="background1"/>
        </w:rPr>
        <w:t>减少51.6</w:t>
      </w:r>
      <w:r>
        <w:rPr>
          <w:rFonts w:ascii="微软雅黑" w:hAnsi="微软雅黑" w:eastAsia="微软雅黑" w:cs="Times New Roman"/>
          <w:bCs/>
          <w:color w:val="auto"/>
          <w:sz w:val="22"/>
          <w:szCs w:val="22"/>
          <w:u w:val="dotDash" w:color="FFFFFF" w:themeColor="background1"/>
        </w:rPr>
        <w:t>%</w:t>
      </w:r>
      <w:r>
        <w:rPr>
          <w:rFonts w:hint="eastAsia" w:ascii="微软雅黑" w:hAnsi="微软雅黑" w:eastAsia="微软雅黑" w:cs="Times New Roman"/>
          <w:bCs/>
          <w:color w:val="auto"/>
          <w:sz w:val="22"/>
          <w:szCs w:val="22"/>
          <w:u w:val="dotDash" w:color="FFFFFF" w:themeColor="background1"/>
        </w:rPr>
        <w:t>，减少</w:t>
      </w:r>
      <w:r>
        <w:rPr>
          <w:rFonts w:ascii="微软雅黑" w:hAnsi="微软雅黑" w:eastAsia="微软雅黑" w:cs="Times New Roman"/>
          <w:bCs/>
          <w:color w:val="auto"/>
          <w:sz w:val="22"/>
          <w:szCs w:val="22"/>
          <w:u w:val="dotDash" w:color="FFFFFF" w:themeColor="background1"/>
        </w:rPr>
        <w:t>主要是因为</w:t>
      </w:r>
      <w:r>
        <w:rPr>
          <w:rFonts w:hint="eastAsia" w:ascii="微软雅黑" w:hAnsi="微软雅黑" w:eastAsia="微软雅黑" w:cs="Times New Roman"/>
          <w:bCs/>
          <w:color w:val="auto"/>
          <w:sz w:val="22"/>
          <w:szCs w:val="22"/>
          <w:u w:val="dotDash" w:color="FFFFFF" w:themeColor="background1"/>
        </w:rPr>
        <w:t>水利部门的债券资金扶贫项目资金减少。支出与上年3377.63万元相比支出减少2203.13</w:t>
      </w:r>
      <w:r>
        <w:rPr>
          <w:rFonts w:ascii="微软雅黑" w:hAnsi="微软雅黑" w:eastAsia="微软雅黑" w:cs="Times New Roman"/>
          <w:bCs/>
          <w:color w:val="auto"/>
          <w:sz w:val="22"/>
          <w:szCs w:val="22"/>
          <w:u w:val="dotDash" w:color="FFFFFF" w:themeColor="background1"/>
        </w:rPr>
        <w:t>万元</w:t>
      </w:r>
      <w:r>
        <w:rPr>
          <w:rFonts w:hint="eastAsia" w:ascii="微软雅黑" w:hAnsi="微软雅黑" w:eastAsia="微软雅黑" w:cs="Times New Roman"/>
          <w:bCs/>
          <w:color w:val="auto"/>
          <w:sz w:val="22"/>
          <w:szCs w:val="22"/>
          <w:u w:val="dotDash" w:color="FFFFFF" w:themeColor="background1"/>
        </w:rPr>
        <w:t>，减少65.2%，减少</w:t>
      </w:r>
      <w:r>
        <w:rPr>
          <w:rFonts w:ascii="微软雅黑" w:hAnsi="微软雅黑" w:eastAsia="微软雅黑" w:cs="Times New Roman"/>
          <w:bCs/>
          <w:color w:val="auto"/>
          <w:sz w:val="22"/>
          <w:szCs w:val="22"/>
          <w:u w:val="dotDash" w:color="FFFFFF" w:themeColor="background1"/>
        </w:rPr>
        <w:t>主要是因为</w:t>
      </w:r>
      <w:r>
        <w:rPr>
          <w:rFonts w:hint="eastAsia" w:ascii="微软雅黑" w:hAnsi="微软雅黑" w:eastAsia="微软雅黑" w:cs="Times New Roman"/>
          <w:bCs/>
          <w:color w:val="auto"/>
          <w:sz w:val="22"/>
          <w:szCs w:val="22"/>
          <w:u w:val="dotDash" w:color="FFFFFF" w:themeColor="background1"/>
        </w:rPr>
        <w:t>无上年项目资金结存，加之今年减少了上级拨入的水利债券资金。</w:t>
      </w:r>
    </w:p>
    <w:p>
      <w:pPr>
        <w:pStyle w:val="12"/>
        <w:ind w:firstLine="440" w:firstLineChars="200"/>
        <w:rPr>
          <w:rFonts w:ascii="微软雅黑" w:hAnsi="微软雅黑" w:eastAsia="微软雅黑" w:cs="Times New Roman"/>
          <w:b/>
          <w:color w:val="auto"/>
          <w:sz w:val="22"/>
          <w:szCs w:val="22"/>
          <w:u w:val="dotDash" w:color="FFFFFF" w:themeColor="background1"/>
        </w:rPr>
      </w:pPr>
      <w:r>
        <w:rPr>
          <w:rFonts w:hint="eastAsia" w:ascii="微软雅黑" w:hAnsi="微软雅黑" w:eastAsia="微软雅黑" w:cs="Times New Roman"/>
          <w:b/>
          <w:color w:val="auto"/>
          <w:sz w:val="22"/>
          <w:szCs w:val="22"/>
          <w:u w:val="dotDash" w:color="FFFFFF" w:themeColor="background1"/>
        </w:rPr>
        <w:t>五、一般公共预算财政拨款支出决算情况说明</w:t>
      </w:r>
    </w:p>
    <w:p>
      <w:pPr>
        <w:pStyle w:val="12"/>
        <w:ind w:firstLine="440" w:firstLineChars="200"/>
        <w:rPr>
          <w:rFonts w:ascii="微软雅黑" w:hAnsi="微软雅黑" w:eastAsia="微软雅黑" w:cs="Times New Roman"/>
          <w:color w:val="auto"/>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（一）财政拨款支出决算总体情况</w:t>
      </w:r>
    </w:p>
    <w:p>
      <w:pPr>
        <w:pStyle w:val="12"/>
        <w:ind w:firstLine="440" w:firstLineChars="200"/>
        <w:rPr>
          <w:rFonts w:ascii="微软雅黑" w:hAnsi="微软雅黑" w:eastAsia="微软雅黑" w:cs="Times New Roman"/>
          <w:bCs/>
          <w:color w:val="auto"/>
          <w:sz w:val="22"/>
          <w:szCs w:val="22"/>
          <w:u w:val="dotDash" w:color="FFFFFF" w:themeColor="background1"/>
        </w:rPr>
      </w:pPr>
      <w:r>
        <w:rPr>
          <w:rFonts w:hint="eastAsia" w:ascii="微软雅黑" w:hAnsi="微软雅黑" w:eastAsia="微软雅黑" w:cs="Times New Roman"/>
          <w:bCs/>
          <w:color w:val="auto"/>
          <w:sz w:val="22"/>
          <w:szCs w:val="22"/>
          <w:u w:val="dotDash" w:color="FFFFFF" w:themeColor="background1"/>
        </w:rPr>
        <w:t>2021年度财政拨款支出1174.5万元，占本年支出合计的100%，与上年财政拨款支出3377.63万元相比，财政拨款支出2203.13万元，减少65.2%，减少</w:t>
      </w:r>
      <w:r>
        <w:rPr>
          <w:rFonts w:ascii="微软雅黑" w:hAnsi="微软雅黑" w:eastAsia="微软雅黑" w:cs="Times New Roman"/>
          <w:bCs/>
          <w:color w:val="auto"/>
          <w:sz w:val="22"/>
          <w:szCs w:val="22"/>
          <w:u w:val="dotDash" w:color="FFFFFF" w:themeColor="background1"/>
        </w:rPr>
        <w:t>主要是因为</w:t>
      </w:r>
      <w:r>
        <w:rPr>
          <w:rFonts w:hint="eastAsia" w:ascii="微软雅黑" w:hAnsi="微软雅黑" w:eastAsia="微软雅黑" w:cs="Times New Roman"/>
          <w:bCs/>
          <w:color w:val="auto"/>
          <w:sz w:val="22"/>
          <w:szCs w:val="22"/>
          <w:u w:val="dotDash" w:color="FFFFFF" w:themeColor="background1"/>
        </w:rPr>
        <w:t>无上年项目资金结存，加之今年减少了上级拨入的水利债券资金。</w:t>
      </w:r>
    </w:p>
    <w:p>
      <w:pPr>
        <w:pStyle w:val="12"/>
        <w:ind w:firstLine="440" w:firstLineChars="200"/>
        <w:rPr>
          <w:rFonts w:ascii="微软雅黑" w:hAnsi="微软雅黑" w:eastAsia="微软雅黑" w:cs="Times New Roman"/>
          <w:color w:val="auto"/>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（二）财政拨款支出决算结构情况</w:t>
      </w:r>
    </w:p>
    <w:p>
      <w:pPr>
        <w:pStyle w:val="12"/>
        <w:spacing w:line="600" w:lineRule="exact"/>
        <w:ind w:firstLine="440" w:firstLineChars="200"/>
        <w:rPr>
          <w:rFonts w:ascii="微软雅黑" w:hAnsi="微软雅黑" w:eastAsia="微软雅黑" w:cs="Times New Roman"/>
          <w:color w:val="auto"/>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2021</w:t>
      </w:r>
      <w:r>
        <w:rPr>
          <w:rFonts w:ascii="微软雅黑" w:hAnsi="微软雅黑" w:eastAsia="微软雅黑" w:cs="Times New Roman"/>
          <w:color w:val="auto"/>
          <w:sz w:val="22"/>
          <w:szCs w:val="22"/>
          <w:u w:val="dotDash" w:color="FFFFFF" w:themeColor="background1"/>
        </w:rPr>
        <w:t>年度财政拨款支出</w:t>
      </w:r>
      <w:r>
        <w:rPr>
          <w:rFonts w:hint="eastAsia" w:ascii="微软雅黑" w:hAnsi="微软雅黑" w:eastAsia="微软雅黑" w:cs="Times New Roman"/>
          <w:bCs/>
          <w:color w:val="auto"/>
          <w:sz w:val="22"/>
          <w:szCs w:val="22"/>
          <w:u w:val="dotDash" w:color="FFFFFF" w:themeColor="background1"/>
        </w:rPr>
        <w:t>1174.5</w:t>
      </w:r>
      <w:r>
        <w:rPr>
          <w:rFonts w:ascii="微软雅黑" w:hAnsi="微软雅黑" w:eastAsia="微软雅黑" w:cs="Times New Roman"/>
          <w:color w:val="auto"/>
          <w:sz w:val="22"/>
          <w:szCs w:val="22"/>
          <w:u w:val="dotDash" w:color="FFFFFF" w:themeColor="background1"/>
        </w:rPr>
        <w:t xml:space="preserve"> 万元，主要用于以下方面：</w:t>
      </w:r>
      <w:r>
        <w:rPr>
          <w:rFonts w:hint="eastAsia" w:ascii="微软雅黑" w:hAnsi="微软雅黑" w:eastAsia="微软雅黑" w:cs="Times New Roman"/>
          <w:color w:val="auto"/>
          <w:sz w:val="22"/>
          <w:szCs w:val="22"/>
          <w:u w:val="dotDash" w:color="FFFFFF" w:themeColor="background1"/>
        </w:rPr>
        <w:t>一般公共预算财政拨款支出1143.1</w:t>
      </w:r>
      <w:r>
        <w:rPr>
          <w:rFonts w:ascii="微软雅黑" w:hAnsi="微软雅黑" w:eastAsia="微软雅黑" w:cs="Times New Roman"/>
          <w:color w:val="auto"/>
          <w:sz w:val="22"/>
          <w:szCs w:val="22"/>
          <w:u w:val="dotDash" w:color="FFFFFF" w:themeColor="background1"/>
        </w:rPr>
        <w:t>万元，占</w:t>
      </w:r>
      <w:r>
        <w:rPr>
          <w:rFonts w:hint="eastAsia" w:ascii="微软雅黑" w:hAnsi="微软雅黑" w:eastAsia="微软雅黑" w:cs="Times New Roman"/>
          <w:color w:val="auto"/>
          <w:sz w:val="22"/>
          <w:szCs w:val="22"/>
          <w:u w:val="dotDash" w:color="FFFFFF" w:themeColor="background1"/>
        </w:rPr>
        <w:t>97.3</w:t>
      </w:r>
      <w:r>
        <w:rPr>
          <w:rFonts w:ascii="微软雅黑" w:hAnsi="微软雅黑" w:eastAsia="微软雅黑" w:cs="Times New Roman"/>
          <w:color w:val="auto"/>
          <w:sz w:val="22"/>
          <w:szCs w:val="22"/>
          <w:u w:val="dotDash" w:color="FFFFFF" w:themeColor="background1"/>
        </w:rPr>
        <w:t>%</w:t>
      </w:r>
      <w:r>
        <w:rPr>
          <w:rFonts w:hint="eastAsia" w:ascii="微软雅黑" w:hAnsi="微软雅黑" w:eastAsia="微软雅黑" w:cs="Times New Roman"/>
          <w:color w:val="auto"/>
          <w:sz w:val="22"/>
          <w:szCs w:val="22"/>
          <w:u w:val="dotDash" w:color="FFFFFF" w:themeColor="background1"/>
        </w:rPr>
        <w:t>，政府性基金预算财政拨款支出31.4</w:t>
      </w:r>
      <w:r>
        <w:rPr>
          <w:rFonts w:ascii="微软雅黑" w:hAnsi="微软雅黑" w:eastAsia="微软雅黑" w:cs="Times New Roman"/>
          <w:color w:val="auto"/>
          <w:sz w:val="22"/>
          <w:szCs w:val="22"/>
          <w:u w:val="dotDash" w:color="FFFFFF" w:themeColor="background1"/>
        </w:rPr>
        <w:t>万元</w:t>
      </w:r>
      <w:r>
        <w:rPr>
          <w:rFonts w:hint="eastAsia" w:ascii="微软雅黑" w:hAnsi="微软雅黑" w:eastAsia="微软雅黑" w:cs="Times New Roman"/>
          <w:color w:val="auto"/>
          <w:sz w:val="22"/>
          <w:szCs w:val="22"/>
          <w:u w:val="dotDash" w:color="FFFFFF" w:themeColor="background1"/>
        </w:rPr>
        <w:t>，</w:t>
      </w:r>
      <w:r>
        <w:rPr>
          <w:rFonts w:ascii="微软雅黑" w:hAnsi="微软雅黑" w:eastAsia="微软雅黑" w:cs="Times New Roman"/>
          <w:color w:val="auto"/>
          <w:sz w:val="22"/>
          <w:szCs w:val="22"/>
          <w:u w:val="dotDash" w:color="FFFFFF" w:themeColor="background1"/>
        </w:rPr>
        <w:t>占</w:t>
      </w:r>
      <w:r>
        <w:rPr>
          <w:rFonts w:hint="eastAsia" w:ascii="微软雅黑" w:hAnsi="微软雅黑" w:eastAsia="微软雅黑" w:cs="Times New Roman"/>
          <w:color w:val="auto"/>
          <w:sz w:val="22"/>
          <w:szCs w:val="22"/>
          <w:u w:val="dotDash" w:color="FFFFFF" w:themeColor="background1"/>
        </w:rPr>
        <w:t>2.7</w:t>
      </w:r>
      <w:r>
        <w:rPr>
          <w:rFonts w:ascii="微软雅黑" w:hAnsi="微软雅黑" w:eastAsia="微软雅黑" w:cs="Times New Roman"/>
          <w:color w:val="auto"/>
          <w:sz w:val="22"/>
          <w:szCs w:val="22"/>
          <w:u w:val="dotDash" w:color="FFFFFF" w:themeColor="background1"/>
        </w:rPr>
        <w:t>%</w:t>
      </w:r>
      <w:r>
        <w:rPr>
          <w:rFonts w:hint="eastAsia" w:ascii="微软雅黑" w:hAnsi="微软雅黑" w:eastAsia="微软雅黑" w:cs="Times New Roman"/>
          <w:color w:val="auto"/>
          <w:sz w:val="22"/>
          <w:szCs w:val="22"/>
          <w:u w:val="dotDash" w:color="FFFFFF" w:themeColor="background1"/>
        </w:rPr>
        <w:t>。</w:t>
      </w:r>
    </w:p>
    <w:p>
      <w:pPr>
        <w:pStyle w:val="12"/>
        <w:numPr>
          <w:ilvl w:val="0"/>
          <w:numId w:val="3"/>
        </w:numPr>
        <w:rPr>
          <w:rFonts w:ascii="微软雅黑" w:hAnsi="微软雅黑" w:eastAsia="微软雅黑" w:cs="Times New Roman"/>
          <w:color w:val="auto"/>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财政拨款支出决算具体情况</w:t>
      </w:r>
    </w:p>
    <w:p>
      <w:pPr>
        <w:pStyle w:val="12"/>
        <w:ind w:firstLine="550" w:firstLineChars="250"/>
        <w:rPr>
          <w:rFonts w:ascii="微软雅黑" w:hAnsi="微软雅黑" w:eastAsia="微软雅黑" w:cs="Times New Roman"/>
          <w:color w:val="auto"/>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2021年度财政拨款支出年初预算数为1174.5万元，支出决算数为1174.5万元，完成年初预算的100%，其中：</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000000" w:themeColor="text1"/>
          <w:sz w:val="22"/>
          <w:szCs w:val="22"/>
          <w:u w:val="dotDash" w:color="FFFFFF" w:themeColor="background1"/>
        </w:rPr>
        <w:t>1、社会保障和就业支出（类）</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000000" w:themeColor="text1"/>
          <w:sz w:val="22"/>
          <w:szCs w:val="22"/>
          <w:u w:val="dotDash" w:color="FFFFFF" w:themeColor="background1"/>
        </w:rPr>
        <w:t>（1）大中型水库移民后期扶持基金支出（款）  移民补助（项）支出决算为1.38万元,占总支出的0.1%。</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000000" w:themeColor="text1"/>
          <w:sz w:val="22"/>
          <w:szCs w:val="22"/>
          <w:u w:val="dotDash" w:color="FFFFFF" w:themeColor="background1"/>
        </w:rPr>
        <w:t>2、城乡社区支出（类）</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000000" w:themeColor="text1"/>
          <w:sz w:val="22"/>
          <w:szCs w:val="22"/>
          <w:u w:val="dotDash" w:color="FFFFFF" w:themeColor="background1"/>
        </w:rPr>
        <w:t>（1）国有土地使用权出让收入安排的支出（款）农村基础设施建设支出（项）支出决算为30万元。占总支出的2.6%。</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000000" w:themeColor="text1"/>
          <w:sz w:val="22"/>
          <w:szCs w:val="22"/>
          <w:u w:val="dotDash" w:color="FFFFFF" w:themeColor="background1"/>
        </w:rPr>
        <w:t>3、农林水支出（类）</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（1）农业农村（款）行政运行（项）支出决算为566.05万元。</w:t>
      </w:r>
      <w:r>
        <w:rPr>
          <w:rFonts w:hint="eastAsia" w:ascii="微软雅黑" w:hAnsi="微软雅黑" w:eastAsia="微软雅黑" w:cs="Times New Roman"/>
          <w:color w:val="000000" w:themeColor="text1"/>
          <w:sz w:val="22"/>
          <w:szCs w:val="22"/>
          <w:u w:val="dotDash" w:color="FFFFFF" w:themeColor="background1"/>
        </w:rPr>
        <w:t>占总支出的48.2%</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（2）农业农村（款）事业运行（项）支出决算为3.43万元。</w:t>
      </w:r>
      <w:r>
        <w:rPr>
          <w:rFonts w:hint="eastAsia" w:ascii="微软雅黑" w:hAnsi="微软雅黑" w:eastAsia="微软雅黑" w:cs="Times New Roman"/>
          <w:color w:val="000000" w:themeColor="text1"/>
          <w:sz w:val="22"/>
          <w:szCs w:val="22"/>
          <w:u w:val="dotDash" w:color="FFFFFF" w:themeColor="background1"/>
        </w:rPr>
        <w:t>占总支出的0.3%</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（3）农业农村（款）病虫害控制（项）支出决算为100万元。</w:t>
      </w:r>
      <w:r>
        <w:rPr>
          <w:rFonts w:hint="eastAsia" w:ascii="微软雅黑" w:hAnsi="微软雅黑" w:eastAsia="微软雅黑" w:cs="Times New Roman"/>
          <w:color w:val="000000" w:themeColor="text1"/>
          <w:sz w:val="22"/>
          <w:szCs w:val="22"/>
          <w:u w:val="dotDash" w:color="FFFFFF" w:themeColor="background1"/>
        </w:rPr>
        <w:t>占总支出的8.5%</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（4）农业农村（款）农业生产发展（项）支出决算为10万元。</w:t>
      </w:r>
      <w:r>
        <w:rPr>
          <w:rFonts w:hint="eastAsia" w:ascii="微软雅黑" w:hAnsi="微软雅黑" w:eastAsia="微软雅黑" w:cs="Times New Roman"/>
          <w:color w:val="000000" w:themeColor="text1"/>
          <w:sz w:val="22"/>
          <w:szCs w:val="22"/>
          <w:u w:val="dotDash" w:color="FFFFFF" w:themeColor="background1"/>
        </w:rPr>
        <w:t>占总支出的0.9%</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（5）农业农村（款）农村合作经济（项）支出决算为20万元。</w:t>
      </w:r>
      <w:r>
        <w:rPr>
          <w:rFonts w:hint="eastAsia" w:ascii="微软雅黑" w:hAnsi="微软雅黑" w:eastAsia="微软雅黑" w:cs="Times New Roman"/>
          <w:color w:val="000000" w:themeColor="text1"/>
          <w:sz w:val="22"/>
          <w:szCs w:val="22"/>
          <w:u w:val="dotDash" w:color="FFFFFF" w:themeColor="background1"/>
        </w:rPr>
        <w:t>占总支出的1.7%</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（6）农业农村（款）农产品加工与促销（项）支出决算为15.7万元。</w:t>
      </w:r>
      <w:r>
        <w:rPr>
          <w:rFonts w:hint="eastAsia" w:ascii="微软雅黑" w:hAnsi="微软雅黑" w:eastAsia="微软雅黑" w:cs="Times New Roman"/>
          <w:color w:val="000000" w:themeColor="text1"/>
          <w:sz w:val="22"/>
          <w:szCs w:val="22"/>
          <w:u w:val="dotDash" w:color="FFFFFF" w:themeColor="background1"/>
        </w:rPr>
        <w:t>占总支出的1.3%</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（7）农业农村（款）其他农业农村支出（项）支出决算为6.23万元。</w:t>
      </w:r>
      <w:r>
        <w:rPr>
          <w:rFonts w:hint="eastAsia" w:ascii="微软雅黑" w:hAnsi="微软雅黑" w:eastAsia="微软雅黑" w:cs="Times New Roman"/>
          <w:color w:val="000000" w:themeColor="text1"/>
          <w:sz w:val="22"/>
          <w:szCs w:val="22"/>
          <w:u w:val="dotDash" w:color="FFFFFF" w:themeColor="background1"/>
        </w:rPr>
        <w:t>占总支出的0.5%</w:t>
      </w:r>
    </w:p>
    <w:p>
      <w:pPr>
        <w:pStyle w:val="12"/>
        <w:ind w:firstLine="550" w:firstLineChars="250"/>
        <w:rPr>
          <w:rFonts w:ascii="微软雅黑" w:hAnsi="微软雅黑" w:eastAsia="微软雅黑" w:cs="Times New Roman"/>
          <w:color w:val="auto"/>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 xml:space="preserve"> （8）林业和草原（款）行政运行（项）支出决算为19.6万元。</w:t>
      </w:r>
      <w:r>
        <w:rPr>
          <w:rFonts w:hint="eastAsia" w:ascii="微软雅黑" w:hAnsi="微软雅黑" w:eastAsia="微软雅黑" w:cs="Times New Roman"/>
          <w:color w:val="000000" w:themeColor="text1"/>
          <w:sz w:val="22"/>
          <w:szCs w:val="22"/>
          <w:u w:val="dotDash" w:color="FFFFFF" w:themeColor="background1"/>
        </w:rPr>
        <w:t>占总支出的1.7%</w:t>
      </w:r>
    </w:p>
    <w:p>
      <w:pPr>
        <w:pStyle w:val="12"/>
        <w:ind w:firstLine="660" w:firstLineChars="30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（9）林业和草原（款）森林生态效益补偿（项）支出决算为7.2万元。</w:t>
      </w:r>
      <w:r>
        <w:rPr>
          <w:rFonts w:hint="eastAsia" w:ascii="微软雅黑" w:hAnsi="微软雅黑" w:eastAsia="微软雅黑" w:cs="Times New Roman"/>
          <w:color w:val="000000" w:themeColor="text1"/>
          <w:sz w:val="22"/>
          <w:szCs w:val="22"/>
          <w:u w:val="dotDash" w:color="FFFFFF" w:themeColor="background1"/>
        </w:rPr>
        <w:t>占总支出的0.6%</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（10）水利（款）行政运行（项）支出决算为134.54万元。</w:t>
      </w:r>
      <w:r>
        <w:rPr>
          <w:rFonts w:hint="eastAsia" w:ascii="微软雅黑" w:hAnsi="微软雅黑" w:eastAsia="微软雅黑" w:cs="Times New Roman"/>
          <w:color w:val="000000" w:themeColor="text1"/>
          <w:sz w:val="22"/>
          <w:szCs w:val="22"/>
          <w:u w:val="dotDash" w:color="FFFFFF" w:themeColor="background1"/>
        </w:rPr>
        <w:t>占总支出的11.5%</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（11）水利（款）水利工程建设（项）支出决算为52.7万元。</w:t>
      </w:r>
      <w:r>
        <w:rPr>
          <w:rFonts w:hint="eastAsia" w:ascii="微软雅黑" w:hAnsi="微软雅黑" w:eastAsia="微软雅黑" w:cs="Times New Roman"/>
          <w:color w:val="000000" w:themeColor="text1"/>
          <w:sz w:val="22"/>
          <w:szCs w:val="22"/>
          <w:u w:val="dotDash" w:color="FFFFFF" w:themeColor="background1"/>
        </w:rPr>
        <w:t>占总支出的4.5%</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（12）水利（款）水利工程运行与维护（项）支出决算为10万元。</w:t>
      </w:r>
      <w:r>
        <w:rPr>
          <w:rFonts w:hint="eastAsia" w:ascii="微软雅黑" w:hAnsi="微软雅黑" w:eastAsia="微软雅黑" w:cs="Times New Roman"/>
          <w:color w:val="000000" w:themeColor="text1"/>
          <w:sz w:val="22"/>
          <w:szCs w:val="22"/>
          <w:u w:val="dotDash" w:color="FFFFFF" w:themeColor="background1"/>
        </w:rPr>
        <w:t>占总支出的0.9%</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（13）水利（款）江河湖库水系综合整治（项）支出决算为15.3万元。</w:t>
      </w:r>
      <w:r>
        <w:rPr>
          <w:rFonts w:hint="eastAsia" w:ascii="微软雅黑" w:hAnsi="微软雅黑" w:eastAsia="微软雅黑" w:cs="Times New Roman"/>
          <w:color w:val="000000" w:themeColor="text1"/>
          <w:sz w:val="22"/>
          <w:szCs w:val="22"/>
          <w:u w:val="dotDash" w:color="FFFFFF" w:themeColor="background1"/>
        </w:rPr>
        <w:t>占总支出的1.3%</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（14）水利（款）大中型水库移民后期扶持专项支出（项）支出决算为2万元。</w:t>
      </w:r>
      <w:r>
        <w:rPr>
          <w:rFonts w:hint="eastAsia" w:ascii="微软雅黑" w:hAnsi="微软雅黑" w:eastAsia="微软雅黑" w:cs="Times New Roman"/>
          <w:color w:val="000000" w:themeColor="text1"/>
          <w:sz w:val="22"/>
          <w:szCs w:val="22"/>
          <w:u w:val="dotDash" w:color="FFFFFF" w:themeColor="background1"/>
        </w:rPr>
        <w:t>占总支出的0.2%</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（15）水利（款）其他水利支出（项）支出决算为79.9万元。</w:t>
      </w:r>
      <w:r>
        <w:rPr>
          <w:rFonts w:hint="eastAsia" w:ascii="微软雅黑" w:hAnsi="微软雅黑" w:eastAsia="微软雅黑" w:cs="Times New Roman"/>
          <w:color w:val="000000" w:themeColor="text1"/>
          <w:sz w:val="22"/>
          <w:szCs w:val="22"/>
          <w:u w:val="dotDash" w:color="FFFFFF" w:themeColor="background1"/>
        </w:rPr>
        <w:t>占总支出的6.8%</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（16）扶贫（款）行政运行（项）支出决算为43.2万元。</w:t>
      </w:r>
      <w:r>
        <w:rPr>
          <w:rFonts w:hint="eastAsia" w:ascii="微软雅黑" w:hAnsi="微软雅黑" w:eastAsia="微软雅黑" w:cs="Times New Roman"/>
          <w:color w:val="000000" w:themeColor="text1"/>
          <w:sz w:val="22"/>
          <w:szCs w:val="22"/>
          <w:u w:val="dotDash" w:color="FFFFFF" w:themeColor="background1"/>
        </w:rPr>
        <w:t>占总支出的3.6%</w:t>
      </w:r>
    </w:p>
    <w:p>
      <w:pPr>
        <w:pStyle w:val="12"/>
        <w:ind w:firstLine="550" w:firstLineChars="250"/>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（17）水利（款）  其他扶贫支出（项）支出决算为57.3万元。</w:t>
      </w:r>
      <w:r>
        <w:rPr>
          <w:rFonts w:hint="eastAsia" w:ascii="微软雅黑" w:hAnsi="微软雅黑" w:eastAsia="微软雅黑" w:cs="Times New Roman"/>
          <w:color w:val="000000" w:themeColor="text1"/>
          <w:sz w:val="22"/>
          <w:szCs w:val="22"/>
          <w:u w:val="dotDash" w:color="FFFFFF" w:themeColor="background1"/>
        </w:rPr>
        <w:t>占总支出的4.8%</w:t>
      </w:r>
    </w:p>
    <w:p>
      <w:pPr>
        <w:pStyle w:val="12"/>
        <w:ind w:firstLine="550" w:firstLineChars="250"/>
        <w:rPr>
          <w:rFonts w:ascii="微软雅黑" w:hAnsi="微软雅黑" w:eastAsia="微软雅黑" w:cs="Times New Roman"/>
          <w:color w:val="auto"/>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六、一般公共预算财政拨款基本支出决算情况说明</w:t>
      </w:r>
    </w:p>
    <w:p>
      <w:pPr>
        <w:pStyle w:val="12"/>
        <w:ind w:firstLine="550" w:firstLineChars="250"/>
        <w:rPr>
          <w:rFonts w:ascii="微软雅黑" w:hAnsi="微软雅黑" w:eastAsia="微软雅黑" w:cs="Times New Roman"/>
          <w:color w:val="auto"/>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2021年度财政拨款基本支出910.5万元，其中：人员经费387.7万元，占基本支出的42.6%,主要包括基本工资、津贴补贴、奖金、伙食补助费、绩效工资、机关事业单位基本养老保险缴费、职工基本医疗保险缴费、其他社会保障缴费、住房公积金、医疗费、其他工资福利支出、助学金、个人农业生产补贴、其他对个人和家庭的补助等；公用经费407.6万元，占基本支出的44.8%，主要包括办公费、印刷费、咨询费、水费、电费、邮电费、差旅费、维修（护）费、租赁费、培训费、公务接待费、专用材料费、劳务费、委托业务费、工会经费、其他交通费用、其他商品和服务支出等。对个人和家庭的补助115.2万元，占基本支出的12.6%主要包括个人农业生产补贴、助学金、奖励金、代缴社会保险费返贫责任险，医保等费用</w:t>
      </w:r>
    </w:p>
    <w:p>
      <w:pPr>
        <w:pStyle w:val="12"/>
        <w:spacing w:line="600" w:lineRule="exact"/>
        <w:rPr>
          <w:rFonts w:ascii="微软雅黑" w:hAnsi="微软雅黑" w:eastAsia="微软雅黑" w:cs="Times New Roman"/>
          <w:b/>
          <w:color w:val="auto"/>
          <w:sz w:val="22"/>
          <w:szCs w:val="22"/>
          <w:u w:val="dotDash" w:color="FFFFFF" w:themeColor="background1"/>
        </w:rPr>
      </w:pPr>
      <w:r>
        <w:rPr>
          <w:rFonts w:hint="eastAsia" w:ascii="微软雅黑" w:hAnsi="微软雅黑" w:eastAsia="微软雅黑" w:cs="Times New Roman"/>
          <w:b/>
          <w:color w:val="auto"/>
          <w:sz w:val="22"/>
          <w:szCs w:val="22"/>
          <w:u w:val="dotDash" w:color="FFFFFF" w:themeColor="background1"/>
        </w:rPr>
        <w:t>七、一般公共预算财政拨款三公经费支出决算情况说明</w:t>
      </w:r>
    </w:p>
    <w:p>
      <w:pPr>
        <w:pStyle w:val="12"/>
        <w:spacing w:line="600" w:lineRule="exact"/>
        <w:rPr>
          <w:rFonts w:ascii="微软雅黑" w:hAnsi="微软雅黑" w:eastAsia="微软雅黑" w:cs="Times New Roman"/>
          <w:b/>
          <w:color w:val="auto"/>
          <w:sz w:val="22"/>
          <w:szCs w:val="22"/>
          <w:u w:val="dotDash" w:color="FFFFFF" w:themeColor="background1"/>
        </w:rPr>
      </w:pPr>
      <w:r>
        <w:rPr>
          <w:rFonts w:hint="eastAsia" w:ascii="微软雅黑" w:hAnsi="微软雅黑" w:eastAsia="微软雅黑" w:cs="Times New Roman"/>
          <w:b/>
          <w:color w:val="auto"/>
          <w:sz w:val="22"/>
          <w:szCs w:val="22"/>
          <w:u w:val="dotDash" w:color="FFFFFF" w:themeColor="background1"/>
        </w:rPr>
        <w:t>（一）“三公”经费财政拨款支出决算总体情况说明</w:t>
      </w:r>
    </w:p>
    <w:p>
      <w:pPr>
        <w:pStyle w:val="12"/>
        <w:ind w:firstLine="550" w:firstLineChars="250"/>
        <w:rPr>
          <w:rFonts w:ascii="微软雅黑" w:hAnsi="微软雅黑" w:eastAsia="微软雅黑" w:cs="Times New Roman"/>
          <w:color w:val="auto"/>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“三公”经费财政拨款支出预算为7.4万元，支出决算为7.4万元，完成预算的100%，其中：</w:t>
      </w:r>
    </w:p>
    <w:p>
      <w:pPr>
        <w:pStyle w:val="12"/>
        <w:ind w:firstLine="550" w:firstLineChars="250"/>
        <w:rPr>
          <w:rFonts w:ascii="微软雅黑" w:hAnsi="微软雅黑" w:eastAsia="微软雅黑" w:cs="Times New Roman"/>
          <w:color w:val="auto"/>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因公出国（境）费支出预算为0万元，支出决算为0万元，完成预算的0%，与上年相比减少0万元，减少0%。</w:t>
      </w:r>
    </w:p>
    <w:p>
      <w:pPr>
        <w:pStyle w:val="12"/>
        <w:ind w:firstLine="550" w:firstLineChars="250"/>
        <w:rPr>
          <w:rFonts w:ascii="微软雅黑" w:hAnsi="微软雅黑" w:eastAsia="微软雅黑" w:cs="Times New Roman"/>
          <w:color w:val="auto"/>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公务接待费支出预算为7.4万元，支出决算为7.4万元，完成预算的100%。与上年相比增加5.21万元，减少237%,增加的主要原因是因上年支付系统提前关闭导致费用没支付。</w:t>
      </w:r>
    </w:p>
    <w:p>
      <w:pPr>
        <w:pStyle w:val="12"/>
        <w:ind w:firstLine="440" w:firstLineChars="200"/>
        <w:rPr>
          <w:rFonts w:ascii="微软雅黑" w:hAnsi="微软雅黑" w:eastAsia="微软雅黑" w:cs="Times New Roman"/>
          <w:color w:val="auto"/>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公务用车购置费及运行维护费支出预算为0万元，支出决算为0万元，完成预算的0%，与上年相比减少0万元，减少0%。</w:t>
      </w:r>
    </w:p>
    <w:p>
      <w:pPr>
        <w:pStyle w:val="12"/>
        <w:rPr>
          <w:rFonts w:ascii="微软雅黑" w:hAnsi="微软雅黑" w:eastAsia="微软雅黑" w:cs="Times New Roman"/>
          <w:b/>
          <w:color w:val="auto"/>
          <w:sz w:val="22"/>
          <w:szCs w:val="22"/>
          <w:u w:val="dotDash" w:color="FFFFFF" w:themeColor="background1"/>
        </w:rPr>
      </w:pPr>
      <w:r>
        <w:rPr>
          <w:rFonts w:hint="eastAsia" w:ascii="微软雅黑" w:hAnsi="微软雅黑" w:eastAsia="微软雅黑" w:cs="Times New Roman"/>
          <w:b/>
          <w:color w:val="auto"/>
          <w:sz w:val="22"/>
          <w:szCs w:val="22"/>
          <w:u w:val="dotDash" w:color="FFFFFF" w:themeColor="background1"/>
        </w:rPr>
        <w:t>（二）“三公”经费财政拨款支出决算具体情况说明</w:t>
      </w:r>
    </w:p>
    <w:p>
      <w:pPr>
        <w:pStyle w:val="12"/>
        <w:ind w:firstLine="550" w:firstLineChars="250"/>
        <w:rPr>
          <w:rFonts w:ascii="微软雅黑" w:hAnsi="微软雅黑" w:eastAsia="微软雅黑" w:cs="Times New Roman"/>
          <w:color w:val="auto"/>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2021年度“三公”经费财政拨款支出决算中，公务接待费支出决算7.4万元，占100%,因公出国（境）费支出决算0万元，占0%,公务用车购置费及运行维护费支出决算0万元，占0%。其中：</w:t>
      </w:r>
    </w:p>
    <w:p>
      <w:pPr>
        <w:pStyle w:val="12"/>
        <w:ind w:firstLine="550" w:firstLineChars="250"/>
        <w:rPr>
          <w:rFonts w:ascii="微软雅黑" w:hAnsi="微软雅黑" w:eastAsia="微软雅黑" w:cs="Times New Roman"/>
          <w:color w:val="auto"/>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1、因公出国（境）费支出决算为0万元，全年安排因公出国（境）团组0个，累计0人次。</w:t>
      </w:r>
    </w:p>
    <w:p>
      <w:pPr>
        <w:pStyle w:val="12"/>
        <w:ind w:firstLine="550" w:firstLineChars="250"/>
        <w:rPr>
          <w:rFonts w:ascii="微软雅黑" w:hAnsi="微软雅黑" w:eastAsia="微软雅黑" w:cs="Times New Roman"/>
          <w:color w:val="auto"/>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2、公务接待费支出决算为7.4万元，全年共接待来访团组53个、来宾741人次。</w:t>
      </w:r>
    </w:p>
    <w:p>
      <w:pPr>
        <w:pStyle w:val="12"/>
        <w:ind w:firstLine="550" w:firstLineChars="250"/>
        <w:rPr>
          <w:rFonts w:ascii="微软雅黑" w:hAnsi="微软雅黑" w:eastAsia="微软雅黑" w:cs="Times New Roman"/>
          <w:color w:val="auto"/>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3、公务用车购置费及运行维护费支出决算为0万元，其中：公务用车购置费0万元，更新公务用车0辆。公务用车运行维护费0万元，截止2021年12月31日，我单位开支财政拨款的公务用车保有量为0辆。</w:t>
      </w:r>
    </w:p>
    <w:p>
      <w:pPr>
        <w:pStyle w:val="12"/>
        <w:rPr>
          <w:rFonts w:ascii="微软雅黑" w:hAnsi="微软雅黑" w:eastAsia="微软雅黑" w:cs="Times New Roman"/>
          <w:b/>
          <w:color w:val="auto"/>
          <w:sz w:val="22"/>
          <w:szCs w:val="22"/>
          <w:u w:val="dotDash" w:color="FFFFFF" w:themeColor="background1"/>
        </w:rPr>
      </w:pPr>
      <w:r>
        <w:rPr>
          <w:rFonts w:hint="eastAsia" w:ascii="微软雅黑" w:hAnsi="微软雅黑" w:eastAsia="微软雅黑" w:cs="Times New Roman"/>
          <w:b/>
          <w:color w:val="auto"/>
          <w:sz w:val="22"/>
          <w:szCs w:val="22"/>
          <w:u w:val="dotDash" w:color="FFFFFF" w:themeColor="background1"/>
        </w:rPr>
        <w:t>八、政府性基金预算收入支出决算情况</w:t>
      </w:r>
    </w:p>
    <w:p>
      <w:pPr>
        <w:pStyle w:val="12"/>
        <w:ind w:firstLine="550" w:firstLineChars="250"/>
        <w:rPr>
          <w:rFonts w:ascii="微软雅黑" w:hAnsi="微软雅黑" w:eastAsia="微软雅黑" w:cs="Times New Roman"/>
          <w:color w:val="auto"/>
          <w:sz w:val="22"/>
          <w:szCs w:val="22"/>
          <w:u w:val="dotDash" w:color="FFFFFF" w:themeColor="background1"/>
        </w:rPr>
      </w:pPr>
      <w:r>
        <w:rPr>
          <w:rFonts w:hint="eastAsia" w:ascii="微软雅黑" w:hAnsi="微软雅黑" w:eastAsia="微软雅黑" w:cs="Times New Roman"/>
          <w:color w:val="auto"/>
          <w:sz w:val="22"/>
          <w:szCs w:val="22"/>
          <w:u w:val="dotDash" w:color="FFFFFF" w:themeColor="background1"/>
        </w:rPr>
        <w:t>本年政府性基金收入为31.4</w:t>
      </w:r>
      <w:r>
        <w:rPr>
          <w:rFonts w:ascii="微软雅黑" w:hAnsi="微软雅黑" w:eastAsia="微软雅黑" w:cs="Times New Roman"/>
          <w:color w:val="auto"/>
          <w:sz w:val="22"/>
          <w:szCs w:val="22"/>
          <w:u w:val="dotDash" w:color="FFFFFF" w:themeColor="background1"/>
        </w:rPr>
        <w:t>万元</w:t>
      </w:r>
      <w:r>
        <w:rPr>
          <w:rFonts w:hint="eastAsia" w:ascii="微软雅黑" w:hAnsi="微软雅黑" w:eastAsia="微软雅黑" w:cs="Times New Roman"/>
          <w:color w:val="auto"/>
          <w:sz w:val="22"/>
          <w:szCs w:val="22"/>
          <w:u w:val="dotDash" w:color="FFFFFF" w:themeColor="background1"/>
        </w:rPr>
        <w:t>，</w:t>
      </w:r>
      <w:r>
        <w:rPr>
          <w:rFonts w:ascii="微软雅黑" w:hAnsi="微软雅黑" w:eastAsia="微软雅黑" w:cs="Times New Roman"/>
          <w:color w:val="auto"/>
          <w:sz w:val="22"/>
          <w:szCs w:val="22"/>
          <w:u w:val="dotDash" w:color="FFFFFF" w:themeColor="background1"/>
        </w:rPr>
        <w:t>其中基本支出</w:t>
      </w:r>
      <w:r>
        <w:rPr>
          <w:rFonts w:hint="eastAsia" w:ascii="微软雅黑" w:hAnsi="微软雅黑" w:eastAsia="微软雅黑" w:cs="Times New Roman"/>
          <w:color w:val="auto"/>
          <w:sz w:val="22"/>
          <w:szCs w:val="22"/>
          <w:u w:val="dotDash" w:color="FFFFFF" w:themeColor="background1"/>
        </w:rPr>
        <w:t>0万元，占0%，项目支出31.4</w:t>
      </w:r>
      <w:r>
        <w:rPr>
          <w:rFonts w:ascii="微软雅黑" w:hAnsi="微软雅黑" w:eastAsia="微软雅黑" w:cs="Times New Roman"/>
          <w:color w:val="auto"/>
          <w:sz w:val="22"/>
          <w:szCs w:val="22"/>
          <w:u w:val="dotDash" w:color="FFFFFF" w:themeColor="background1"/>
        </w:rPr>
        <w:t>万元</w:t>
      </w:r>
      <w:r>
        <w:rPr>
          <w:rFonts w:hint="eastAsia" w:ascii="微软雅黑" w:hAnsi="微软雅黑" w:eastAsia="微软雅黑" w:cs="Times New Roman"/>
          <w:color w:val="auto"/>
          <w:sz w:val="22"/>
          <w:szCs w:val="22"/>
          <w:u w:val="dotDash" w:color="FFFFFF" w:themeColor="background1"/>
        </w:rPr>
        <w:t>，</w:t>
      </w:r>
      <w:r>
        <w:rPr>
          <w:rFonts w:ascii="微软雅黑" w:hAnsi="微软雅黑" w:eastAsia="微软雅黑" w:cs="Times New Roman"/>
          <w:color w:val="auto"/>
          <w:sz w:val="22"/>
          <w:szCs w:val="22"/>
          <w:u w:val="dotDash" w:color="FFFFFF" w:themeColor="background1"/>
        </w:rPr>
        <w:t>占</w:t>
      </w:r>
      <w:r>
        <w:rPr>
          <w:rFonts w:hint="eastAsia" w:ascii="微软雅黑" w:hAnsi="微软雅黑" w:eastAsia="微软雅黑" w:cs="Times New Roman"/>
          <w:color w:val="auto"/>
          <w:sz w:val="22"/>
          <w:szCs w:val="22"/>
          <w:u w:val="dotDash" w:color="FFFFFF" w:themeColor="background1"/>
        </w:rPr>
        <w:t>100%，本年度无结余资金。</w:t>
      </w:r>
    </w:p>
    <w:p>
      <w:pPr>
        <w:pStyle w:val="12"/>
        <w:spacing w:line="600" w:lineRule="exact"/>
        <w:rPr>
          <w:rFonts w:ascii="微软雅黑" w:hAnsi="微软雅黑" w:eastAsia="微软雅黑" w:cs="Times New Roman"/>
          <w:color w:val="auto"/>
          <w:sz w:val="22"/>
          <w:szCs w:val="22"/>
          <w:u w:val="dotDash" w:color="FFFFFF" w:themeColor="background1"/>
        </w:rPr>
      </w:pPr>
      <w:r>
        <w:rPr>
          <w:rFonts w:ascii="微软雅黑" w:hAnsi="微软雅黑" w:eastAsia="微软雅黑" w:cs="Times New Roman"/>
          <w:b/>
          <w:color w:val="auto"/>
          <w:sz w:val="22"/>
          <w:szCs w:val="22"/>
          <w:u w:val="dotDash" w:color="FFFFFF" w:themeColor="background1"/>
        </w:rPr>
        <w:t>九、关于</w:t>
      </w:r>
      <w:r>
        <w:rPr>
          <w:rFonts w:hint="eastAsia" w:ascii="微软雅黑" w:hAnsi="微软雅黑" w:eastAsia="微软雅黑" w:cs="Times New Roman"/>
          <w:b/>
          <w:color w:val="auto"/>
          <w:sz w:val="22"/>
          <w:szCs w:val="22"/>
          <w:u w:val="dotDash" w:color="FFFFFF" w:themeColor="background1"/>
        </w:rPr>
        <w:t>2021</w:t>
      </w:r>
      <w:r>
        <w:rPr>
          <w:rFonts w:ascii="微软雅黑" w:hAnsi="微软雅黑" w:eastAsia="微软雅黑" w:cs="Times New Roman"/>
          <w:b/>
          <w:color w:val="auto"/>
          <w:sz w:val="22"/>
          <w:szCs w:val="22"/>
          <w:u w:val="dotDash" w:color="FFFFFF" w:themeColor="background1"/>
        </w:rPr>
        <w:t>年度预算绩效情况说明</w:t>
      </w:r>
    </w:p>
    <w:p>
      <w:pPr>
        <w:pStyle w:val="12"/>
        <w:spacing w:line="600" w:lineRule="exact"/>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000000" w:themeColor="text1"/>
          <w:sz w:val="22"/>
          <w:szCs w:val="22"/>
          <w:u w:val="dotDash" w:color="FFFFFF" w:themeColor="background1"/>
        </w:rPr>
        <w:t>为进一步规范财政资金管理、强化绩效和责任意识，切实提高财政资金使用效益，根据财政预算管理要求，我局对2021年度部门整体支出认真开展绩效自评，按财政要求及时报送了《2021年度部门整体支出绩效评价报告》、《部门整体支出绩效评价表》等表格及佐证资料，并进行了挂网公开。</w:t>
      </w:r>
    </w:p>
    <w:p>
      <w:pPr>
        <w:pStyle w:val="12"/>
        <w:spacing w:line="600" w:lineRule="exact"/>
        <w:rPr>
          <w:rFonts w:ascii="微软雅黑" w:hAnsi="微软雅黑" w:eastAsia="微软雅黑" w:cs="Times New Roman"/>
          <w:color w:val="000000" w:themeColor="text1"/>
          <w:sz w:val="22"/>
          <w:szCs w:val="22"/>
          <w:u w:val="dotDash" w:color="FFFFFF" w:themeColor="background1"/>
        </w:rPr>
      </w:pPr>
      <w:r>
        <w:rPr>
          <w:rFonts w:hint="eastAsia" w:ascii="微软雅黑" w:hAnsi="微软雅黑" w:eastAsia="微软雅黑" w:cs="Times New Roman"/>
          <w:color w:val="000000" w:themeColor="text1"/>
          <w:sz w:val="22"/>
          <w:szCs w:val="22"/>
          <w:u w:val="dotDash" w:color="FFFFFF" w:themeColor="background1"/>
        </w:rPr>
        <w:t>2021年</w:t>
      </w:r>
      <w:r>
        <w:rPr>
          <w:rFonts w:hint="eastAsia" w:ascii="Times New Roman" w:hAnsi="Times New Roman" w:eastAsia="仿宋_GB2312" w:cs="Times New Roman"/>
          <w:color w:val="auto"/>
          <w:sz w:val="32"/>
          <w:szCs w:val="32"/>
        </w:rPr>
        <w:t>，</w:t>
      </w:r>
      <w:r>
        <w:rPr>
          <w:rFonts w:hint="eastAsia" w:ascii="微软雅黑" w:hAnsi="微软雅黑" w:eastAsia="微软雅黑" w:cs="Times New Roman"/>
          <w:color w:val="auto"/>
        </w:rPr>
        <w:t>区农业委认真贯彻落实中央一号文件和省市区相关文件精神，全力做好农业农村工作，确保了粮食安全，巩固了主导产业，推动了产业升级，促进了乡村振兴，</w:t>
      </w:r>
      <w:r>
        <w:rPr>
          <w:rFonts w:hint="eastAsia" w:ascii="微软雅黑" w:hAnsi="微软雅黑" w:eastAsia="微软雅黑" w:cs="Times New Roman"/>
          <w:color w:val="000000" w:themeColor="text1"/>
          <w:sz w:val="22"/>
          <w:szCs w:val="22"/>
          <w:u w:val="dotDash" w:color="FFFFFF" w:themeColor="background1"/>
        </w:rPr>
        <w:t>圆满完成了全年各项工作任务。得到了区党委管委的充分肯定以及社会各界的普遍好评。局机关在2021年度的区绩效评估中荣获合格等次。</w:t>
      </w:r>
    </w:p>
    <w:p>
      <w:pPr>
        <w:pStyle w:val="12"/>
        <w:spacing w:line="600" w:lineRule="exact"/>
        <w:rPr>
          <w:rFonts w:ascii="微软雅黑" w:hAnsi="微软雅黑" w:eastAsia="微软雅黑" w:cs="Times New Roman"/>
          <w:b/>
          <w:color w:val="auto"/>
          <w:sz w:val="22"/>
          <w:szCs w:val="22"/>
          <w:u w:val="dotDash" w:color="FFFFFF" w:themeColor="background1"/>
        </w:rPr>
      </w:pPr>
      <w:r>
        <w:rPr>
          <w:rFonts w:ascii="微软雅黑" w:hAnsi="微软雅黑" w:eastAsia="微软雅黑" w:cs="Times New Roman"/>
          <w:b/>
          <w:color w:val="auto"/>
          <w:sz w:val="22"/>
          <w:szCs w:val="22"/>
          <w:u w:val="dotDash" w:color="FFFFFF" w:themeColor="background1"/>
        </w:rPr>
        <w:t>十、其他重要事项情况说明</w:t>
      </w:r>
    </w:p>
    <w:p>
      <w:pPr>
        <w:spacing w:line="600" w:lineRule="exact"/>
        <w:ind w:firstLine="440" w:firstLineChars="200"/>
        <w:rPr>
          <w:rFonts w:ascii="微软雅黑" w:hAnsi="微软雅黑" w:eastAsia="微软雅黑"/>
          <w:b/>
          <w:kern w:val="0"/>
          <w:sz w:val="22"/>
          <w:u w:val="dotDash" w:color="FFFFFF" w:themeColor="background1"/>
        </w:rPr>
      </w:pPr>
      <w:r>
        <w:rPr>
          <w:rFonts w:hint="eastAsia" w:ascii="微软雅黑" w:hAnsi="微软雅黑" w:eastAsia="微软雅黑"/>
          <w:b/>
          <w:kern w:val="0"/>
          <w:sz w:val="22"/>
          <w:u w:val="dotDash" w:color="FFFFFF" w:themeColor="background1"/>
        </w:rPr>
        <w:t>（一）机关运行经费支出情况</w:t>
      </w:r>
    </w:p>
    <w:p>
      <w:pPr>
        <w:spacing w:line="600" w:lineRule="exact"/>
        <w:ind w:firstLine="440" w:firstLineChars="200"/>
        <w:rPr>
          <w:rFonts w:ascii="微软雅黑" w:hAnsi="微软雅黑" w:eastAsia="微软雅黑"/>
          <w:kern w:val="0"/>
          <w:sz w:val="22"/>
          <w:u w:val="dotDash" w:color="FFFFFF" w:themeColor="background1"/>
        </w:rPr>
      </w:pPr>
      <w:r>
        <w:rPr>
          <w:rFonts w:ascii="微软雅黑" w:hAnsi="微软雅黑" w:eastAsia="微软雅黑"/>
          <w:kern w:val="0"/>
          <w:sz w:val="22"/>
          <w:u w:val="dotDash" w:color="FFFFFF" w:themeColor="background1"/>
        </w:rPr>
        <w:t>本部门</w:t>
      </w:r>
      <w:r>
        <w:rPr>
          <w:rFonts w:hint="eastAsia" w:ascii="微软雅黑" w:hAnsi="微软雅黑" w:eastAsia="微软雅黑"/>
          <w:b/>
          <w:bCs/>
          <w:kern w:val="0"/>
          <w:sz w:val="22"/>
          <w:u w:val="dotDash" w:color="FFFFFF" w:themeColor="background1"/>
        </w:rPr>
        <w:t>2021</w:t>
      </w:r>
      <w:r>
        <w:rPr>
          <w:rFonts w:ascii="微软雅黑" w:hAnsi="微软雅黑" w:eastAsia="微软雅黑"/>
          <w:kern w:val="0"/>
          <w:sz w:val="22"/>
          <w:u w:val="dotDash" w:color="FFFFFF" w:themeColor="background1"/>
        </w:rPr>
        <w:t>年度机关运行经费支出</w:t>
      </w:r>
      <w:r>
        <w:rPr>
          <w:rFonts w:hint="eastAsia" w:ascii="微软雅黑" w:hAnsi="微软雅黑" w:eastAsia="微软雅黑"/>
          <w:kern w:val="0"/>
          <w:sz w:val="22"/>
          <w:u w:val="dotDash" w:color="FFFFFF" w:themeColor="background1"/>
        </w:rPr>
        <w:t>407.6</w:t>
      </w:r>
      <w:r>
        <w:rPr>
          <w:rFonts w:ascii="微软雅黑" w:hAnsi="微软雅黑" w:eastAsia="微软雅黑"/>
          <w:kern w:val="0"/>
          <w:sz w:val="22"/>
          <w:u w:val="dotDash" w:color="FFFFFF" w:themeColor="background1"/>
        </w:rPr>
        <w:t>万元</w:t>
      </w:r>
      <w:r>
        <w:rPr>
          <w:rFonts w:hint="eastAsia" w:ascii="微软雅黑" w:hAnsi="微软雅黑" w:eastAsia="微软雅黑"/>
          <w:kern w:val="0"/>
          <w:sz w:val="22"/>
          <w:u w:val="dotDash" w:color="FFFFFF" w:themeColor="background1"/>
        </w:rPr>
        <w:t>，比2020年机关运行经费支出234.06万元增加173.54万元。主要原因是专用材料费，委托业务经费增加。</w:t>
      </w:r>
    </w:p>
    <w:p>
      <w:pPr>
        <w:spacing w:line="600" w:lineRule="exact"/>
        <w:ind w:firstLine="440" w:firstLineChars="200"/>
        <w:rPr>
          <w:rFonts w:ascii="微软雅黑" w:hAnsi="微软雅黑" w:eastAsia="微软雅黑"/>
          <w:b/>
          <w:kern w:val="0"/>
          <w:sz w:val="22"/>
          <w:u w:val="dotDash" w:color="FFFFFF" w:themeColor="background1"/>
        </w:rPr>
      </w:pPr>
      <w:r>
        <w:rPr>
          <w:rFonts w:hint="eastAsia" w:ascii="微软雅黑" w:hAnsi="微软雅黑" w:eastAsia="微软雅黑"/>
          <w:b/>
          <w:kern w:val="0"/>
          <w:sz w:val="22"/>
          <w:u w:val="dotDash" w:color="FFFFFF" w:themeColor="background1"/>
        </w:rPr>
        <w:t>（二）一般性支出情况</w:t>
      </w:r>
    </w:p>
    <w:p>
      <w:pPr>
        <w:spacing w:line="600" w:lineRule="exact"/>
        <w:ind w:firstLine="440" w:firstLineChars="200"/>
        <w:rPr>
          <w:rFonts w:ascii="微软雅黑" w:hAnsi="微软雅黑" w:eastAsia="微软雅黑"/>
          <w:kern w:val="0"/>
          <w:sz w:val="22"/>
          <w:u w:val="dotDash" w:color="FFFFFF" w:themeColor="background1"/>
        </w:rPr>
      </w:pPr>
      <w:r>
        <w:rPr>
          <w:rFonts w:hint="eastAsia" w:ascii="微软雅黑" w:hAnsi="微软雅黑" w:eastAsia="微软雅黑"/>
          <w:kern w:val="0"/>
          <w:sz w:val="22"/>
          <w:u w:val="dotDash" w:color="FFFFFF" w:themeColor="background1"/>
        </w:rPr>
        <w:t>2021</w:t>
      </w:r>
      <w:r>
        <w:rPr>
          <w:rFonts w:ascii="微软雅黑" w:hAnsi="微软雅黑" w:eastAsia="微软雅黑"/>
          <w:kern w:val="0"/>
          <w:sz w:val="22"/>
          <w:u w:val="dotDash" w:color="FFFFFF" w:themeColor="background1"/>
        </w:rPr>
        <w:t>年 本部门开支会议费</w:t>
      </w:r>
      <w:r>
        <w:rPr>
          <w:rFonts w:ascii="微软雅黑" w:hAnsi="微软雅黑" w:eastAsia="微软雅黑"/>
          <w:sz w:val="22"/>
          <w:u w:val="dotDash" w:color="FFFFFF" w:themeColor="background1"/>
        </w:rPr>
        <w:t xml:space="preserve"> </w:t>
      </w:r>
      <w:r>
        <w:rPr>
          <w:rFonts w:hint="eastAsia" w:ascii="微软雅黑" w:hAnsi="微软雅黑" w:eastAsia="微软雅黑"/>
          <w:sz w:val="22"/>
          <w:u w:val="dotDash" w:color="FFFFFF" w:themeColor="background1"/>
        </w:rPr>
        <w:t>0</w:t>
      </w:r>
      <w:r>
        <w:rPr>
          <w:rFonts w:ascii="微软雅黑" w:hAnsi="微软雅黑" w:eastAsia="微软雅黑"/>
          <w:sz w:val="22"/>
          <w:u w:val="dotDash" w:color="FFFFFF" w:themeColor="background1"/>
        </w:rPr>
        <w:t xml:space="preserve"> </w:t>
      </w:r>
      <w:r>
        <w:rPr>
          <w:rFonts w:ascii="微软雅黑" w:hAnsi="微软雅黑" w:eastAsia="微软雅黑"/>
          <w:kern w:val="0"/>
          <w:sz w:val="22"/>
          <w:u w:val="dotDash" w:color="FFFFFF" w:themeColor="background1"/>
        </w:rPr>
        <w:t>万元；</w:t>
      </w:r>
      <w:r>
        <w:rPr>
          <w:rFonts w:hint="eastAsia" w:ascii="微软雅黑" w:hAnsi="微软雅黑" w:eastAsia="微软雅黑"/>
          <w:kern w:val="0"/>
          <w:sz w:val="22"/>
          <w:u w:val="dotDash" w:color="FFFFFF" w:themeColor="background1"/>
        </w:rPr>
        <w:t>开支培训费0万元，用于单位日常职业能力及相关业务学习培训。</w:t>
      </w:r>
    </w:p>
    <w:p>
      <w:pPr>
        <w:spacing w:line="600" w:lineRule="exact"/>
        <w:ind w:firstLine="440" w:firstLineChars="200"/>
        <w:rPr>
          <w:rFonts w:ascii="微软雅黑" w:hAnsi="微软雅黑" w:eastAsia="微软雅黑"/>
          <w:b/>
          <w:kern w:val="0"/>
          <w:sz w:val="22"/>
          <w:u w:val="dotDash" w:color="FFFFFF" w:themeColor="background1"/>
        </w:rPr>
      </w:pPr>
      <w:r>
        <w:rPr>
          <w:rFonts w:hint="eastAsia" w:ascii="微软雅黑" w:hAnsi="微软雅黑" w:eastAsia="微软雅黑"/>
          <w:b/>
          <w:kern w:val="0"/>
          <w:sz w:val="22"/>
          <w:u w:val="dotDash" w:color="FFFFFF" w:themeColor="background1"/>
        </w:rPr>
        <w:t>（三）政府采购支出情况</w:t>
      </w:r>
    </w:p>
    <w:p>
      <w:pPr>
        <w:pStyle w:val="12"/>
        <w:ind w:firstLine="440" w:firstLineChars="200"/>
        <w:rPr>
          <w:rFonts w:asciiTheme="minorEastAsia" w:hAnsiTheme="minorEastAsia" w:eastAsiaTheme="minorEastAsia"/>
          <w:sz w:val="22"/>
          <w:szCs w:val="22"/>
        </w:rPr>
      </w:pPr>
      <w:r>
        <w:rPr>
          <w:rFonts w:hint="eastAsia" w:ascii="微软雅黑" w:hAnsi="微软雅黑" w:eastAsia="微软雅黑"/>
          <w:sz w:val="22"/>
          <w:szCs w:val="22"/>
          <w:u w:val="dotDash" w:color="FFFFFF" w:themeColor="background1"/>
        </w:rPr>
        <w:t>本部门2021年度政府采购支出总额2.45万元，其中：政府采购货物支出2.45万元、政府采购工程支出0万元、政府采购服务支出0万元。授予中小企业合同金额0万元，占政府采购支出总额的0%，其中：授予小微企业合同金额0万元，占政府采购支出总额的0%。</w:t>
      </w:r>
    </w:p>
    <w:p>
      <w:pPr>
        <w:spacing w:line="600" w:lineRule="exact"/>
        <w:ind w:firstLine="440" w:firstLineChars="200"/>
        <w:rPr>
          <w:rFonts w:ascii="微软雅黑" w:hAnsi="微软雅黑" w:eastAsia="微软雅黑"/>
          <w:b/>
          <w:kern w:val="0"/>
          <w:sz w:val="22"/>
          <w:u w:val="dotDash" w:color="FFFFFF" w:themeColor="background1"/>
        </w:rPr>
      </w:pPr>
      <w:r>
        <w:rPr>
          <w:rFonts w:hint="eastAsia" w:ascii="微软雅黑" w:hAnsi="微软雅黑" w:eastAsia="微软雅黑"/>
          <w:b/>
          <w:kern w:val="0"/>
          <w:sz w:val="22"/>
          <w:u w:val="dotDash" w:color="FFFFFF" w:themeColor="background1"/>
        </w:rPr>
        <w:t>（四）国有资产占用情况</w:t>
      </w:r>
    </w:p>
    <w:p>
      <w:pPr>
        <w:pStyle w:val="12"/>
        <w:ind w:firstLine="440" w:firstLineChars="200"/>
        <w:rPr>
          <w:rFonts w:ascii="微软雅黑" w:hAnsi="微软雅黑" w:eastAsia="微软雅黑"/>
          <w:sz w:val="22"/>
          <w:szCs w:val="22"/>
          <w:u w:val="dotDash" w:color="FFFFFF" w:themeColor="background1"/>
        </w:rPr>
      </w:pPr>
      <w:r>
        <w:rPr>
          <w:rFonts w:hint="eastAsia" w:ascii="微软雅黑" w:hAnsi="微软雅黑" w:eastAsia="微软雅黑"/>
          <w:sz w:val="22"/>
          <w:szCs w:val="22"/>
          <w:u w:val="dotDash" w:color="FFFFFF" w:themeColor="background1"/>
        </w:rPr>
        <w:t>截至2021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widowControl/>
        <w:spacing w:line="600" w:lineRule="exact"/>
        <w:rPr>
          <w:rFonts w:ascii="微软雅黑" w:hAnsi="微软雅黑" w:eastAsia="微软雅黑"/>
          <w:b/>
          <w:bCs/>
          <w:kern w:val="0"/>
          <w:sz w:val="22"/>
        </w:rPr>
      </w:pPr>
      <w:r>
        <w:rPr>
          <w:rFonts w:hint="eastAsia" w:ascii="微软雅黑" w:hAnsi="微软雅黑" w:eastAsia="微软雅黑"/>
          <w:b/>
          <w:bCs/>
          <w:kern w:val="0"/>
          <w:sz w:val="22"/>
        </w:rPr>
        <w:t>第四部分 名词解释</w:t>
      </w:r>
    </w:p>
    <w:p>
      <w:pPr>
        <w:widowControl/>
        <w:spacing w:line="600" w:lineRule="exact"/>
        <w:ind w:firstLine="440" w:firstLineChars="200"/>
        <w:jc w:val="left"/>
        <w:rPr>
          <w:rFonts w:ascii="微软雅黑" w:hAnsi="微软雅黑" w:eastAsia="微软雅黑"/>
          <w:bCs/>
          <w:kern w:val="0"/>
          <w:sz w:val="22"/>
        </w:rPr>
      </w:pPr>
      <w:r>
        <w:rPr>
          <w:rFonts w:hint="eastAsia" w:ascii="微软雅黑" w:hAnsi="微软雅黑" w:eastAsia="微软雅黑"/>
          <w:bCs/>
          <w:kern w:val="0"/>
          <w:sz w:val="22"/>
        </w:rPr>
        <w:t>财政拨款收入：是指行政单位从同级财政部门取得的财政预算资金</w:t>
      </w:r>
    </w:p>
    <w:p>
      <w:pPr>
        <w:widowControl/>
        <w:spacing w:line="600" w:lineRule="exact"/>
        <w:ind w:firstLine="440" w:firstLineChars="200"/>
        <w:jc w:val="left"/>
        <w:rPr>
          <w:rFonts w:ascii="微软雅黑" w:hAnsi="微软雅黑" w:eastAsia="微软雅黑"/>
          <w:bCs/>
          <w:kern w:val="0"/>
          <w:sz w:val="22"/>
        </w:rPr>
      </w:pPr>
      <w:r>
        <w:rPr>
          <w:rFonts w:hint="eastAsia" w:ascii="微软雅黑" w:hAnsi="微软雅黑" w:eastAsia="微软雅黑"/>
          <w:bCs/>
          <w:kern w:val="0"/>
          <w:sz w:val="22"/>
        </w:rPr>
        <w:t>事业收入：是指事业单位开展专业业务活动及辅助活动取得的现金流入</w:t>
      </w:r>
    </w:p>
    <w:p>
      <w:pPr>
        <w:widowControl/>
        <w:spacing w:line="600" w:lineRule="exact"/>
        <w:ind w:firstLine="440" w:firstLineChars="200"/>
        <w:jc w:val="left"/>
        <w:rPr>
          <w:rFonts w:ascii="微软雅黑" w:hAnsi="微软雅黑" w:eastAsia="微软雅黑"/>
          <w:bCs/>
          <w:kern w:val="0"/>
          <w:sz w:val="22"/>
        </w:rPr>
      </w:pPr>
      <w:r>
        <w:rPr>
          <w:rFonts w:hint="eastAsia" w:ascii="微软雅黑" w:hAnsi="微软雅黑" w:eastAsia="微软雅黑"/>
          <w:bCs/>
          <w:kern w:val="0"/>
          <w:sz w:val="22"/>
        </w:rPr>
        <w:t>其他收入：是指行政单位依法取得的除财政拨款收入以外的各项收入</w:t>
      </w:r>
    </w:p>
    <w:p>
      <w:pPr>
        <w:widowControl/>
        <w:spacing w:line="600" w:lineRule="exact"/>
        <w:ind w:firstLine="440" w:firstLineChars="200"/>
        <w:jc w:val="left"/>
        <w:rPr>
          <w:rFonts w:ascii="微软雅黑" w:hAnsi="微软雅黑" w:eastAsia="微软雅黑"/>
          <w:bCs/>
          <w:kern w:val="0"/>
          <w:sz w:val="22"/>
        </w:rPr>
      </w:pPr>
      <w:r>
        <w:rPr>
          <w:rFonts w:hint="eastAsia" w:ascii="微软雅黑" w:hAnsi="微软雅黑" w:eastAsia="微软雅黑"/>
          <w:bCs/>
          <w:kern w:val="0"/>
          <w:sz w:val="22"/>
        </w:rPr>
        <w:t>年初结转和结余：结转资金是指当年预算已执行但未完成，或者因故未执行，下一年度需要按照原用途继续使用的资金。结余资金是指当年预算工作目标已完成，或者因帮终止当年的剩余的资金。年初结转和结余是指上年度结转和结余下来的资金。</w:t>
      </w:r>
    </w:p>
    <w:p>
      <w:pPr>
        <w:widowControl/>
        <w:spacing w:line="600" w:lineRule="exact"/>
        <w:ind w:firstLine="440" w:firstLineChars="200"/>
        <w:jc w:val="left"/>
        <w:rPr>
          <w:rFonts w:ascii="微软雅黑" w:hAnsi="微软雅黑" w:eastAsia="微软雅黑"/>
          <w:bCs/>
          <w:kern w:val="0"/>
          <w:sz w:val="22"/>
        </w:rPr>
      </w:pPr>
      <w:r>
        <w:rPr>
          <w:rFonts w:hint="eastAsia" w:ascii="微软雅黑" w:hAnsi="微软雅黑" w:eastAsia="微软雅黑"/>
          <w:bCs/>
          <w:kern w:val="0"/>
          <w:sz w:val="22"/>
        </w:rPr>
        <w:t>年未结转和结余：是指本年度结转和结余下来的资金。</w:t>
      </w:r>
    </w:p>
    <w:p>
      <w:pPr>
        <w:widowControl/>
        <w:spacing w:line="600" w:lineRule="exact"/>
        <w:ind w:firstLine="440" w:firstLineChars="200"/>
        <w:jc w:val="left"/>
        <w:rPr>
          <w:rFonts w:ascii="微软雅黑" w:hAnsi="微软雅黑" w:eastAsia="微软雅黑"/>
          <w:bCs/>
          <w:kern w:val="0"/>
          <w:sz w:val="22"/>
        </w:rPr>
      </w:pPr>
      <w:r>
        <w:rPr>
          <w:rFonts w:hint="eastAsia" w:ascii="微软雅黑" w:hAnsi="微软雅黑" w:eastAsia="微软雅黑"/>
          <w:bCs/>
          <w:kern w:val="0"/>
          <w:sz w:val="22"/>
        </w:rPr>
        <w:t>基本支出：是指行政事业单位为保障其机构正常运转、完成日常工作任务而编制的年度基本支出。</w:t>
      </w:r>
    </w:p>
    <w:p>
      <w:pPr>
        <w:widowControl/>
        <w:spacing w:line="600" w:lineRule="exact"/>
        <w:ind w:firstLine="440" w:firstLineChars="200"/>
        <w:jc w:val="left"/>
        <w:rPr>
          <w:rFonts w:ascii="微软雅黑" w:hAnsi="微软雅黑" w:eastAsia="微软雅黑"/>
          <w:bCs/>
          <w:kern w:val="0"/>
          <w:sz w:val="22"/>
        </w:rPr>
      </w:pPr>
      <w:r>
        <w:rPr>
          <w:rFonts w:hint="eastAsia" w:ascii="微软雅黑" w:hAnsi="微软雅黑" w:eastAsia="微软雅黑"/>
          <w:bCs/>
          <w:kern w:val="0"/>
          <w:sz w:val="22"/>
        </w:rPr>
        <w:t>项目支出：项目支出是指行政事业单位为完成特定的工作任务或事业发展目标，在基本的预算支出以外，财政预算专款安排的支出。</w:t>
      </w:r>
    </w:p>
    <w:p>
      <w:pPr>
        <w:widowControl/>
        <w:spacing w:line="600" w:lineRule="exact"/>
        <w:rPr>
          <w:rFonts w:ascii="微软雅黑" w:hAnsi="微软雅黑" w:eastAsia="微软雅黑"/>
          <w:b/>
          <w:bCs/>
          <w:kern w:val="0"/>
          <w:sz w:val="22"/>
        </w:rPr>
      </w:pPr>
      <w:r>
        <w:rPr>
          <w:rFonts w:hint="eastAsia" w:ascii="微软雅黑" w:hAnsi="微软雅黑" w:eastAsia="微软雅黑"/>
          <w:b/>
          <w:bCs/>
          <w:kern w:val="0"/>
          <w:sz w:val="22"/>
        </w:rPr>
        <w:t>第五部分 附件</w:t>
      </w:r>
    </w:p>
    <w:p>
      <w:pPr>
        <w:keepNext/>
        <w:keepLines/>
        <w:widowControl w:val="0"/>
        <w:spacing w:line="576" w:lineRule="auto"/>
        <w:jc w:val="center"/>
        <w:outlineLvl w:val="0"/>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2020年度永州市回龙圩管理区农业委员会</w:t>
      </w:r>
    </w:p>
    <w:p>
      <w:pPr>
        <w:keepNext/>
        <w:keepLines/>
        <w:widowControl w:val="0"/>
        <w:spacing w:line="576" w:lineRule="auto"/>
        <w:jc w:val="center"/>
        <w:outlineLvl w:val="0"/>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整体支出绩效自评报告</w:t>
      </w:r>
    </w:p>
    <w:p>
      <w:pPr>
        <w:keepNext/>
        <w:keepLines/>
        <w:widowControl w:val="0"/>
        <w:spacing w:line="576" w:lineRule="auto"/>
        <w:jc w:val="both"/>
        <w:outlineLvl w:val="0"/>
        <w:rPr>
          <w:rFonts w:hint="eastAsia" w:ascii="微软雅黑" w:hAnsi="微软雅黑" w:eastAsia="微软雅黑" w:cstheme="minorBidi"/>
          <w:b/>
          <w:bCs/>
          <w:kern w:val="0"/>
          <w:sz w:val="22"/>
          <w:szCs w:val="22"/>
          <w:u w:val="dotDash" w:color="FFFFFF" w:themeColor="background1"/>
          <w:lang w:val="en-US" w:eastAsia="zh-CN" w:bidi="ar-SA"/>
        </w:rPr>
      </w:pPr>
      <w:r>
        <w:rPr>
          <w:rFonts w:hint="eastAsia" w:ascii="微软雅黑" w:hAnsi="微软雅黑" w:eastAsia="微软雅黑" w:cstheme="minorBidi"/>
          <w:b/>
          <w:bCs/>
          <w:kern w:val="0"/>
          <w:sz w:val="22"/>
          <w:szCs w:val="22"/>
          <w:u w:val="dotDash" w:color="FFFFFF" w:themeColor="background1"/>
          <w:lang w:val="en-US" w:eastAsia="zh-CN" w:bidi="ar-SA"/>
        </w:rPr>
        <w:t>一、单位情况</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b/>
          <w:bCs/>
          <w:kern w:val="0"/>
          <w:sz w:val="22"/>
          <w:szCs w:val="22"/>
          <w:u w:val="dotDash" w:color="FFFFFF" w:themeColor="background1"/>
          <w:lang w:val="en-US" w:eastAsia="zh-CN" w:bidi="ar-SA"/>
        </w:rPr>
      </w:pPr>
      <w:r>
        <w:rPr>
          <w:rFonts w:hint="eastAsia" w:ascii="微软雅黑" w:hAnsi="微软雅黑" w:eastAsia="微软雅黑" w:cstheme="minorBidi"/>
          <w:b/>
          <w:bCs/>
          <w:kern w:val="0"/>
          <w:sz w:val="22"/>
          <w:szCs w:val="22"/>
          <w:u w:val="dotDash" w:color="FFFFFF" w:themeColor="background1"/>
          <w:lang w:val="en-US" w:eastAsia="zh-CN" w:bidi="ar-SA"/>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1. 移民开发办公室部门职责如下：</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（1）贯彻执行移民、水库移民法律、法规、规章和方针政策，综合协调解决移民工作中的重大问题。</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（2）负责库区移民后续工作规划的编制和实施工作。</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（3）负责管辖区移民后期发展扶持工作，编制规划并组织实施，使用和管理管辖区基金，审核监管重大扶持和发展项目。</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（4）负责水库管辖段综合管理工作、移民工作的管理和监督、移民信访工作、宣传工作、移民就业培训工作、移民搬迁安置工作。</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（5）负责水利工程库区移民资金使用的监督检查，会同有关部门对移民工程质量进行监督检查。</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2.农业综合开发办公室部门职责如下：</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（1）申报建设高标准农田建设</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3.水利局部门职责如下：</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1）负责保障全区水资源的合理开发和利用，严格执行建设项目水资源论证制度，拟定全区水利战略规划和政策，组织编制区确定的重要江河湖泊的流域综合规划、防洪规划等重大水利规划，按规定制定水利工程建设有关制度并组织实施，负责提出水利固定资产投资规模和方向，区财政性资金安排的建议，按规划权限审核，批准区规划内和年度计划舰模内水利固定资产投资项目；提出国家、省，市及区水利建设投资安排建议并组织实施．</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2）负责生活、生产经营和生态环境用水的统筹兼顾和保障实施水资源的统一监督管理，拟订全区的水中长期供求规划、水量分配方案并监督实施，组织开展水资源调查评价工作，开展水能资源普查和调查评价。负责全区重要流域、区域的的水资源调度，组织实施取水许可、水资源有偿使用制度和水资源论证，防洪论证制度。指导水利行业和乡镇供水工作。</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3）负责水资源保护工作。组织编制水资源保护规划，组织拟订重要河流、水库的水功能区划并监督实施，核定水域纳污能力，提出限制排污总量建议，按照管理权限负责入河排污口设置审批工作，指导饮用水水源保护工作，指导地下水开发利用和地下水资源管理保护工作。</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（4）负责防治水旱灾害，对重要河流、水库和重要水利工程实施防汛抗旱调度和应急水量调度，编制区防汛抗旱、水旱灾害防御、水库应急预橐并组织实施。指导水利突发公共事件的应急管理工作。</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（5）负责全区水能资源开发利用的统一监督管理，会同有关部门编制水能资源开发利用规划并监督实施，负责全区水能资源开发利用权有偿取得工作。</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（6）负责节约用水工作。拟订节约用水政策，编制全区节约用水规划，执行有关标准，指导和推动节水型社会建设工作。</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7）组织指导水利设施，水域及其岸线的管理和保护，组织指导河流、水库及河口的治理和开发，负责河道管理工作，指导水利工程建设与运行管理，组织实施具有控制性的或跨乡镇的重要水利工程建设与运行管理。</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8）负责防治水土流失工作．拟订水土保持规划并监督实施，组织实施水土流失的综合防治，监测预报并定期公告；负责有关开发建设项目水土保持方案的审批，监督实施及水土保持设施的验收工作，指导重点水土保持建设项目的实施．负责水土保持规费征收制度的实施．</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（9）指导农村水利工作．组织协调农田水利基本建设，组织指导农村饮水安全，节水灌溉等工程建设与管理工作，指导农村水利社会化服务体系建设，指导农村饮水、供水。</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（10）指导全区水利行业的国有资产监管工作，负责对水利资金的使用和局属系统国有资产的监管工作；指导水利经济和水利风景区建设与管理工作。</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11）组织指导水政监察和水行政执法，查处重大涉水违法事件，协调，协助区政府裁决跨乡镇水事纠纷；依法负责水利行业安全生产工作，组织、指导水库大坝的安全监管，指导水利建设市场的监督管理，组织实施水利工程建设的监督。</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（12）开展水利科技和外事工作，组织开展水利行业质量监督工作，指导和监督实施水利行业的技术标准、规程规范承担水利统计工作，指导全区水利队伍建设，指导全区水利信息化工作。</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（13）承办区党委、区管委交办的其他事项。</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4.林业局部门职责如下：</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（1）森林防火工作常态化，对未经批准擅自野外用火的进行处罚；</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（2）林木采伐许可证核发；</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（3）临时占用林地审批；</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（4）对滥伐森林或者其他林木的处罚；</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（5）对毁坏森林林木的处罚；</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（6）对野生动物进行保护；</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（7）对名木古树进行挂牌保护。</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5.扶贫开发办公室部门职责如下：</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（1）贯彻执行国家和省、市扶贫开发工作的方针、政策，拟订全区扶贫开发工作的政策和规章制度。</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（2）开展调查研究，编制全区扶贫开发的中长期规划和年度计划，指导乡（镇）扶贫开发工作。</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（3）负责全区扶贫开发项目的评估论证、申报审批和组织实施工作。</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（4）负责拟定全区扶贫资金分配方案，指导、监督和检查扶贫开发资金的使用管理工作。</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（5）负责全区致富带头人培训、雨露计划，小额信贷，消费扶贫、扶贫系统、涉贫信访、社会扶贫等工作。</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（6）负责全区扶贫开发的统计、监测和宣传信息工作。</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（7）承担区扶贫开发领导小组的日常工作。</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（8）承办管理区交办的其他事项。</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6、机构情况：永州市回龙圩管理区农业委员会单位构成包括：回龙圩管理区农业委员会，回龙圩管理区水利水电局，回龙圩管理区林业局，回龙圩管理区扶贫开发办公室，回龙圩管理区移民开发办公室，回龙圩管理区农业综合开发办公室，回龙圩管理区农村经营管理局。</w:t>
      </w:r>
    </w:p>
    <w:p>
      <w:pPr>
        <w:spacing w:line="600" w:lineRule="exact"/>
        <w:ind w:firstLine="440" w:firstLineChars="200"/>
        <w:rPr>
          <w:rFonts w:hint="eastAsia" w:ascii="微软雅黑" w:hAnsi="微软雅黑" w:eastAsia="微软雅黑" w:cstheme="minorBidi"/>
          <w:b/>
          <w:bCs/>
          <w:kern w:val="0"/>
          <w:sz w:val="22"/>
          <w:szCs w:val="22"/>
          <w:u w:val="dotDash" w:color="FFFFFF" w:themeColor="background1"/>
          <w:lang w:val="en-US" w:eastAsia="zh-CN" w:bidi="ar-SA"/>
        </w:rPr>
      </w:pPr>
      <w:r>
        <w:rPr>
          <w:rFonts w:hint="eastAsia" w:ascii="微软雅黑" w:hAnsi="微软雅黑" w:eastAsia="微软雅黑" w:cstheme="minorBidi"/>
          <w:b/>
          <w:bCs/>
          <w:kern w:val="0"/>
          <w:sz w:val="22"/>
          <w:szCs w:val="22"/>
          <w:u w:val="dotDash" w:color="FFFFFF" w:themeColor="background1"/>
          <w:lang w:val="en-US" w:eastAsia="zh-CN" w:bidi="ar-SA"/>
        </w:rPr>
        <w:t>（二）整体支出绩效目标，项目支出绩效目标</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2021年，区农业委员会资金分配上保证干部职工工资福利支出及日常公用支出，确保了专项资金专款专用。并全力做好农业农村工作，确保了粮食安全，巩固了主导产业，推动了产业升级，促进了乡村振兴。同时积极做好春耕备耕秋冬种工作，水稻、玉米等种植面积有增无减，油料、蔬菜种植面积有所上升，基本上能确保全区粮食安全。做到资金管理规范，分配合理，并按年初预算执行。</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b/>
          <w:bCs/>
          <w:kern w:val="0"/>
          <w:sz w:val="22"/>
          <w:szCs w:val="22"/>
          <w:u w:val="dotDash" w:color="FFFFFF" w:themeColor="background1"/>
          <w:lang w:val="en-US" w:eastAsia="zh-CN" w:bidi="ar-SA"/>
        </w:rPr>
      </w:pPr>
      <w:r>
        <w:rPr>
          <w:rFonts w:hint="eastAsia" w:ascii="微软雅黑" w:hAnsi="微软雅黑" w:eastAsia="微软雅黑" w:cstheme="minorBidi"/>
          <w:b/>
          <w:bCs/>
          <w:kern w:val="0"/>
          <w:sz w:val="22"/>
          <w:szCs w:val="22"/>
          <w:u w:val="dotDash" w:color="FFFFFF" w:themeColor="background1"/>
          <w:lang w:val="en-US" w:eastAsia="zh-CN" w:bidi="ar-SA"/>
        </w:rPr>
        <w:t>二、一般公共预算支出情况</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2021年度一般公共预算拨款1143.081万元，政府性基金拨款31.38万元，全年共计收入1174.461万元，2021年一般公共预算拨款支出1174.46万元，其中基本支出910.52万元，项目支出263.94万元，年末结转和结余0万元。</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b/>
          <w:bCs/>
          <w:kern w:val="0"/>
          <w:sz w:val="22"/>
          <w:szCs w:val="22"/>
          <w:u w:val="dotDash" w:color="FFFFFF" w:themeColor="background1"/>
          <w:lang w:val="en-US" w:eastAsia="zh-CN" w:bidi="ar-SA"/>
        </w:rPr>
      </w:pPr>
      <w:r>
        <w:rPr>
          <w:rFonts w:hint="eastAsia" w:ascii="微软雅黑" w:hAnsi="微软雅黑" w:eastAsia="微软雅黑" w:cstheme="minorBidi"/>
          <w:b/>
          <w:bCs/>
          <w:kern w:val="0"/>
          <w:sz w:val="22"/>
          <w:szCs w:val="22"/>
          <w:u w:val="dotDash" w:color="FFFFFF" w:themeColor="background1"/>
          <w:lang w:val="en-US" w:eastAsia="zh-CN" w:bidi="ar-SA"/>
        </w:rPr>
        <w:t>（一）基本支出情况</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2021年度财政拨款基本支出910.52万元，其中：人员经费502.87万元，占基本支出的55.23%,主要包括基本工资、津贴补贴、奖金、伙食补助费、绩效工资、机关事业单位基本养老保险缴费、职工基本医疗保险缴费、其他社会保障缴费、住房公积金、医疗费、其他工资福利支出、助学金、个人农业生产补贴、其他对个人和家庭的补助等；公用经费407.65万元，占基本支出的44.77%，主要包括办公费、印刷费、咨询费、水费、电费、邮电费、差旅费、维修（护）费、租赁费、培训费、公务接待费、专用材料费、劳务费、委托业务费、工会经费、其他交通费用、其他商品和服务支出等。</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b/>
          <w:bCs/>
          <w:kern w:val="0"/>
          <w:sz w:val="22"/>
          <w:szCs w:val="22"/>
          <w:u w:val="dotDash" w:color="FFFFFF" w:themeColor="background1"/>
          <w:lang w:val="en-US" w:eastAsia="zh-CN" w:bidi="ar-SA"/>
        </w:rPr>
      </w:pPr>
      <w:r>
        <w:rPr>
          <w:rFonts w:hint="eastAsia" w:ascii="微软雅黑" w:hAnsi="微软雅黑" w:eastAsia="微软雅黑" w:cstheme="minorBidi"/>
          <w:b/>
          <w:bCs/>
          <w:kern w:val="0"/>
          <w:sz w:val="22"/>
          <w:szCs w:val="22"/>
          <w:u w:val="dotDash" w:color="FFFFFF" w:themeColor="background1"/>
          <w:lang w:val="en-US" w:eastAsia="zh-CN" w:bidi="ar-SA"/>
        </w:rPr>
        <w:t>（二）项目支出情况</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2021年度项目支出总计263.94万元，占全年支出的22.47%。 其中</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1、社会保障和就业支出-大中型水库移民后期扶持基金支出81.25万元，主要用于移民补助、李家塘村基础设施建设等。</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2、农林水支出-农业农村支出100万元，主要用于病虫害控制、飞防防治、农产品质量安全、市场检测、防灾救灾、黄龙病灾害、农业生产发展、耕地地力保护补贴资金、农村合作经济、中央农民合作社发展资金、农业资源保护修复与利用、基本农田建设。</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3、农林水支出-水利支出</w:t>
      </w:r>
      <w:r>
        <w:rPr>
          <w:rFonts w:hint="default" w:ascii="微软雅黑" w:hAnsi="微软雅黑" w:eastAsia="微软雅黑" w:cstheme="minorBidi"/>
          <w:kern w:val="0"/>
          <w:sz w:val="22"/>
          <w:szCs w:val="22"/>
          <w:u w:val="dotDash" w:color="FFFFFF" w:themeColor="background1"/>
          <w:lang w:val="en-US" w:eastAsia="zh-CN" w:bidi="ar-SA"/>
        </w:rPr>
        <w:t>82</w:t>
      </w:r>
      <w:r>
        <w:rPr>
          <w:rFonts w:hint="eastAsia" w:ascii="微软雅黑" w:hAnsi="微软雅黑" w:eastAsia="微软雅黑" w:cstheme="minorBidi"/>
          <w:kern w:val="0"/>
          <w:sz w:val="22"/>
          <w:szCs w:val="22"/>
          <w:u w:val="dotDash" w:color="FFFFFF" w:themeColor="background1"/>
          <w:lang w:val="en-US" w:eastAsia="zh-CN" w:bidi="ar-SA"/>
        </w:rPr>
        <w:t>.</w:t>
      </w:r>
      <w:r>
        <w:rPr>
          <w:rFonts w:hint="default" w:ascii="微软雅黑" w:hAnsi="微软雅黑" w:eastAsia="微软雅黑" w:cstheme="minorBidi"/>
          <w:kern w:val="0"/>
          <w:sz w:val="22"/>
          <w:szCs w:val="22"/>
          <w:u w:val="dotDash" w:color="FFFFFF" w:themeColor="background1"/>
          <w:lang w:val="en-US" w:eastAsia="zh-CN" w:bidi="ar-SA"/>
        </w:rPr>
        <w:t>68</w:t>
      </w:r>
      <w:r>
        <w:rPr>
          <w:rFonts w:hint="eastAsia" w:ascii="微软雅黑" w:hAnsi="微软雅黑" w:eastAsia="微软雅黑" w:cstheme="minorBidi"/>
          <w:kern w:val="0"/>
          <w:sz w:val="22"/>
          <w:szCs w:val="22"/>
          <w:u w:val="dotDash" w:color="FFFFFF" w:themeColor="background1"/>
          <w:lang w:val="en-US" w:eastAsia="zh-CN" w:bidi="ar-SA"/>
        </w:rPr>
        <w:t>万元，主要用于水利工程建设、雷井水厂水源工程、村村通自来水工程。</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b/>
          <w:bCs/>
          <w:kern w:val="0"/>
          <w:sz w:val="22"/>
          <w:szCs w:val="22"/>
          <w:u w:val="dotDash" w:color="FFFFFF" w:themeColor="background1"/>
          <w:lang w:val="en-US" w:eastAsia="zh-CN" w:bidi="ar-SA"/>
        </w:rPr>
      </w:pPr>
      <w:r>
        <w:rPr>
          <w:rFonts w:hint="eastAsia" w:ascii="微软雅黑" w:hAnsi="微软雅黑" w:eastAsia="微软雅黑" w:cstheme="minorBidi"/>
          <w:b/>
          <w:bCs/>
          <w:kern w:val="0"/>
          <w:sz w:val="22"/>
          <w:szCs w:val="22"/>
          <w:u w:val="dotDash" w:color="FFFFFF" w:themeColor="background1"/>
          <w:lang w:val="en-US" w:eastAsia="zh-CN" w:bidi="ar-SA"/>
        </w:rPr>
        <w:t>三、政府性基金预算支出情况</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本年政府性基金收入为31.38万元，上年结余无结转，其中基本支出0万元，占0%，项目支出31.38万元，占100%，本年度无结余资金。</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b/>
          <w:bCs/>
          <w:kern w:val="0"/>
          <w:sz w:val="22"/>
          <w:szCs w:val="22"/>
          <w:u w:val="dotDash" w:color="FFFFFF" w:themeColor="background1"/>
          <w:lang w:val="en-US" w:eastAsia="zh-CN" w:bidi="ar-SA"/>
        </w:rPr>
      </w:pPr>
      <w:r>
        <w:rPr>
          <w:rFonts w:hint="eastAsia" w:ascii="微软雅黑" w:hAnsi="微软雅黑" w:eastAsia="微软雅黑" w:cstheme="minorBidi"/>
          <w:b/>
          <w:bCs/>
          <w:kern w:val="0"/>
          <w:sz w:val="22"/>
          <w:szCs w:val="22"/>
          <w:u w:val="dotDash" w:color="FFFFFF" w:themeColor="background1"/>
          <w:lang w:val="en-US" w:eastAsia="zh-CN" w:bidi="ar-SA"/>
        </w:rPr>
        <w:t>四、国有资本经营预算支出情况：</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本单位无国有资本经营预算支出。</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b/>
          <w:bCs/>
          <w:kern w:val="0"/>
          <w:sz w:val="22"/>
          <w:szCs w:val="22"/>
          <w:u w:val="dotDash" w:color="FFFFFF" w:themeColor="background1"/>
          <w:lang w:val="en-US" w:eastAsia="zh-CN" w:bidi="ar-SA"/>
        </w:rPr>
      </w:pPr>
      <w:r>
        <w:rPr>
          <w:rFonts w:hint="eastAsia" w:ascii="微软雅黑" w:hAnsi="微软雅黑" w:eastAsia="微软雅黑" w:cstheme="minorBidi"/>
          <w:b/>
          <w:bCs/>
          <w:kern w:val="0"/>
          <w:sz w:val="22"/>
          <w:szCs w:val="22"/>
          <w:u w:val="dotDash" w:color="FFFFFF" w:themeColor="background1"/>
          <w:lang w:val="en-US" w:eastAsia="zh-CN" w:bidi="ar-SA"/>
        </w:rPr>
        <w:t>五、社会保险基金预算支出情况：</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本单位无社会保险基金预算支出。</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b/>
          <w:bCs/>
          <w:kern w:val="0"/>
          <w:sz w:val="22"/>
          <w:szCs w:val="22"/>
          <w:u w:val="dotDash" w:color="FFFFFF" w:themeColor="background1"/>
          <w:lang w:val="en-US" w:eastAsia="zh-CN" w:bidi="ar-SA"/>
        </w:rPr>
      </w:pPr>
      <w:r>
        <w:rPr>
          <w:rFonts w:hint="eastAsia" w:ascii="微软雅黑" w:hAnsi="微软雅黑" w:eastAsia="微软雅黑" w:cstheme="minorBidi"/>
          <w:b/>
          <w:bCs/>
          <w:kern w:val="0"/>
          <w:sz w:val="22"/>
          <w:szCs w:val="22"/>
          <w:u w:val="dotDash" w:color="FFFFFF" w:themeColor="background1"/>
          <w:lang w:val="en-US" w:eastAsia="zh-CN" w:bidi="ar-SA"/>
        </w:rPr>
        <w:t>六、</w:t>
      </w:r>
      <w:r>
        <w:rPr>
          <w:rFonts w:hint="eastAsia" w:ascii="微软雅黑" w:hAnsi="微软雅黑" w:eastAsia="微软雅黑" w:cstheme="minorBidi"/>
          <w:b/>
          <w:bCs/>
          <w:kern w:val="0"/>
          <w:sz w:val="22"/>
          <w:szCs w:val="22"/>
          <w:u w:val="dotDash" w:color="FFFFFF" w:themeColor="background1"/>
          <w:lang w:val="en-US" w:eastAsia="zh-CN" w:bidi="ar-SA"/>
        </w:rPr>
        <w:t>部门整体绩效支出情况</w:t>
      </w:r>
    </w:p>
    <w:p>
      <w:pPr>
        <w:spacing w:line="600" w:lineRule="exact"/>
        <w:ind w:firstLine="440" w:firstLineChars="200"/>
        <w:rPr>
          <w:rFonts w:hint="eastAsia" w:ascii="微软雅黑" w:hAnsi="微软雅黑" w:eastAsia="微软雅黑" w:cstheme="minorBidi"/>
          <w:b/>
          <w:bCs/>
          <w:kern w:val="0"/>
          <w:sz w:val="22"/>
          <w:szCs w:val="22"/>
          <w:u w:val="dotDash" w:color="FFFFFF" w:themeColor="background1"/>
          <w:lang w:val="en-US" w:eastAsia="zh-CN" w:bidi="ar-SA"/>
        </w:rPr>
      </w:pPr>
      <w:r>
        <w:rPr>
          <w:rFonts w:hint="eastAsia" w:ascii="微软雅黑" w:hAnsi="微软雅黑" w:eastAsia="微软雅黑" w:cstheme="minorBidi"/>
          <w:b/>
          <w:bCs/>
          <w:kern w:val="0"/>
          <w:sz w:val="22"/>
          <w:szCs w:val="22"/>
          <w:u w:val="dotDash" w:color="FFFFFF" w:themeColor="background1"/>
          <w:lang w:val="en-US" w:eastAsia="zh-CN" w:bidi="ar-SA"/>
        </w:rPr>
        <w:t>（一）预算执行方面</w:t>
      </w:r>
    </w:p>
    <w:p>
      <w:pPr>
        <w:ind w:firstLine="440" w:firstLineChars="200"/>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2021年本级预算为1174.461376万元，其中：基本预算910.524816万元,项目预算263.93656万元。2021年实际完成预算1174.461376万元，预算完成率100%。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 2021年“三公”经费招待费支出7.4339万，会议费用支出1.6646万元，培训费用支出0.6665万元，用于单位日常职业能力及相关业务学习培训。</w:t>
      </w:r>
    </w:p>
    <w:p>
      <w:pPr>
        <w:spacing w:line="600" w:lineRule="exact"/>
        <w:ind w:firstLine="440" w:firstLineChars="200"/>
        <w:rPr>
          <w:rFonts w:hint="eastAsia" w:ascii="微软雅黑" w:hAnsi="微软雅黑" w:eastAsia="微软雅黑" w:cstheme="minorBidi"/>
          <w:b/>
          <w:bCs/>
          <w:kern w:val="0"/>
          <w:sz w:val="22"/>
          <w:szCs w:val="22"/>
          <w:u w:val="dotDash" w:color="FFFFFF" w:themeColor="background1"/>
          <w:lang w:val="en-US" w:eastAsia="zh-CN" w:bidi="ar-SA"/>
        </w:rPr>
      </w:pPr>
      <w:r>
        <w:rPr>
          <w:rFonts w:hint="eastAsia" w:ascii="微软雅黑" w:hAnsi="微软雅黑" w:eastAsia="微软雅黑" w:cstheme="minorBidi"/>
          <w:b/>
          <w:bCs/>
          <w:kern w:val="0"/>
          <w:sz w:val="22"/>
          <w:szCs w:val="22"/>
          <w:u w:val="dotDash" w:color="FFFFFF" w:themeColor="background1"/>
          <w:lang w:val="en-US" w:eastAsia="zh-CN" w:bidi="ar-SA"/>
        </w:rPr>
        <w:t>（二）预算管理方面</w:t>
      </w:r>
    </w:p>
    <w:p>
      <w:pPr>
        <w:widowControl/>
        <w:shd w:val="clear" w:color="auto" w:fill="FFFFFF"/>
        <w:spacing w:line="600" w:lineRule="exact"/>
        <w:ind w:firstLine="440" w:firstLineChars="200"/>
        <w:jc w:val="both"/>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严格执行财务管理制度，规范财务审批程序，严格三公经费支出标准、范围和程序的审核，所有开支实行“先申报、后开支”，严格控制经费支出，节约机关运行成本，提高资金使用效益。</w:t>
      </w:r>
    </w:p>
    <w:p>
      <w:pPr>
        <w:widowControl/>
        <w:shd w:val="clear" w:color="auto" w:fill="FFFFFF"/>
        <w:spacing w:line="600" w:lineRule="exact"/>
        <w:ind w:firstLine="440" w:firstLineChars="200"/>
        <w:jc w:val="both"/>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开展财务自查工作，严格落实中央八项规定和有关公务支出标准。按要求真实准确编制部门预算和决算，按规定时限和规定内容公开部门预算、部门决算以及绩效自评报告。部门预决算信息透明度进一步提高。</w:t>
      </w:r>
    </w:p>
    <w:p>
      <w:pPr>
        <w:spacing w:line="600" w:lineRule="exact"/>
        <w:ind w:firstLine="440" w:firstLineChars="200"/>
        <w:rPr>
          <w:rFonts w:hint="eastAsia" w:ascii="微软雅黑" w:hAnsi="微软雅黑" w:eastAsia="微软雅黑" w:cstheme="minorBidi"/>
          <w:b/>
          <w:bCs/>
          <w:kern w:val="0"/>
          <w:sz w:val="22"/>
          <w:szCs w:val="22"/>
          <w:u w:val="dotDash" w:color="FFFFFF" w:themeColor="background1"/>
          <w:lang w:val="en-US" w:eastAsia="zh-CN" w:bidi="ar-SA"/>
        </w:rPr>
      </w:pPr>
      <w:r>
        <w:rPr>
          <w:rFonts w:hint="eastAsia" w:ascii="微软雅黑" w:hAnsi="微软雅黑" w:eastAsia="微软雅黑" w:cstheme="minorBidi"/>
          <w:b/>
          <w:bCs/>
          <w:kern w:val="0"/>
          <w:sz w:val="22"/>
          <w:szCs w:val="22"/>
          <w:u w:val="dotDash" w:color="FFFFFF" w:themeColor="background1"/>
          <w:lang w:val="en-US" w:eastAsia="zh-CN" w:bidi="ar-SA"/>
        </w:rPr>
        <w:t>（三）资产管理方面</w:t>
      </w:r>
    </w:p>
    <w:p>
      <w:pPr>
        <w:widowControl/>
        <w:shd w:val="clear" w:color="auto" w:fill="FFFFFF"/>
        <w:spacing w:line="600" w:lineRule="exact"/>
        <w:ind w:firstLine="440" w:firstLineChars="200"/>
        <w:jc w:val="both"/>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 制定了资产管理制度。严格资产购置，办公设备等资产购置严格实行事前审批，按照年初部门预算以及实际工作需要、资产购置标准进行统一配置。提高固定资产利用率，尽量避免资产闲置浪费。资产及时入账销账，严格按照有关程序处置资产，确保资产保存完整、使用合规、账实相符。</w:t>
      </w:r>
    </w:p>
    <w:p>
      <w:pPr>
        <w:widowControl/>
        <w:shd w:val="clear" w:color="auto" w:fill="FFFFFF"/>
        <w:spacing w:line="600" w:lineRule="exact"/>
        <w:ind w:left="420" w:leftChars="200" w:firstLine="220" w:firstLineChars="100"/>
        <w:jc w:val="both"/>
        <w:rPr>
          <w:rFonts w:hint="eastAsia" w:ascii="微软雅黑" w:hAnsi="微软雅黑" w:eastAsia="微软雅黑" w:cstheme="minorBidi"/>
          <w:b/>
          <w:bCs/>
          <w:kern w:val="0"/>
          <w:sz w:val="22"/>
          <w:szCs w:val="22"/>
          <w:u w:val="dotDash" w:color="FFFFFF" w:themeColor="background1"/>
          <w:lang w:val="en-US" w:eastAsia="zh-CN" w:bidi="ar-SA"/>
        </w:rPr>
      </w:pPr>
      <w:r>
        <w:rPr>
          <w:rFonts w:hint="eastAsia" w:ascii="微软雅黑" w:hAnsi="微软雅黑" w:eastAsia="微软雅黑" w:cstheme="minorBidi"/>
          <w:b/>
          <w:bCs/>
          <w:kern w:val="0"/>
          <w:sz w:val="22"/>
          <w:szCs w:val="22"/>
          <w:u w:val="dotDash" w:color="FFFFFF" w:themeColor="background1"/>
          <w:lang w:val="en-US" w:eastAsia="zh-CN" w:bidi="ar-SA"/>
        </w:rPr>
        <w:t>（四）职责履行和履职效益方面</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b w:val="0"/>
          <w:bCs w:val="0"/>
          <w:kern w:val="0"/>
          <w:sz w:val="22"/>
          <w:szCs w:val="22"/>
          <w:u w:val="dotDash" w:color="FFFFFF" w:themeColor="background1"/>
          <w:lang w:val="en-US" w:eastAsia="zh-CN" w:bidi="ar-SA"/>
        </w:rPr>
      </w:pPr>
      <w:r>
        <w:rPr>
          <w:rFonts w:hint="eastAsia" w:ascii="微软雅黑" w:hAnsi="微软雅黑" w:eastAsia="微软雅黑" w:cstheme="minorBidi"/>
          <w:b w:val="0"/>
          <w:bCs w:val="0"/>
          <w:kern w:val="0"/>
          <w:sz w:val="22"/>
          <w:szCs w:val="22"/>
          <w:u w:val="dotDash" w:color="FFFFFF" w:themeColor="background1"/>
          <w:lang w:val="en-US" w:eastAsia="zh-CN" w:bidi="ar-SA"/>
        </w:rPr>
        <w:t>（一）坚持培育壮大主导产业，优化产业结构</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1、产业安全保护。一是强化优质苗木调运。加大政策支持力度，对村民集中购买普早或者特早蜜橘苗的，以办事处为单位登记造册，补助0.2元每株到户；自愿培育网式假植苗补种的，以办事处为单位登记造册，每培育一株补助2元到户。二是持续开展黄龙病监测、砍伐和防控。坚持柑橘黄龙病统防统治思想，聘请专门人员，设定5个监测点随时监控柑橘黄龙病发病情况，实行半月报制度。对于发病的柑橘树及时砍伐，对于失管果园组织专门力量强制砍除。投入100万元，实施飞防8万亩，发放农药1.5万升，开展统防统治。</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b w:val="0"/>
          <w:bCs w:val="0"/>
          <w:kern w:val="0"/>
          <w:sz w:val="22"/>
          <w:szCs w:val="22"/>
          <w:u w:val="dotDash" w:color="FFFFFF" w:themeColor="background1"/>
          <w:lang w:val="en-US" w:eastAsia="zh-CN" w:bidi="ar-SA"/>
        </w:rPr>
      </w:pPr>
      <w:r>
        <w:rPr>
          <w:rFonts w:hint="eastAsia" w:ascii="微软雅黑" w:hAnsi="微软雅黑" w:eastAsia="微软雅黑" w:cstheme="minorBidi"/>
          <w:b w:val="0"/>
          <w:bCs w:val="0"/>
          <w:kern w:val="0"/>
          <w:sz w:val="22"/>
          <w:szCs w:val="22"/>
          <w:u w:val="dotDash" w:color="FFFFFF" w:themeColor="background1"/>
          <w:lang w:val="en-US" w:eastAsia="zh-CN" w:bidi="ar-SA"/>
        </w:rPr>
        <w:t>（二）坚持全民参与推动农村环境整治</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1、高度重视、上下联动。全区农村人居环境整治工作在实施乡村振兴战略领导小组之下，设立农村人居环境整治专门办公室，负责农村人居环境整治村庄清洁行动的组织、协调、指导工作。制定了切实可行的行动实施方案，明确了工作任务及时间安排；建立了村庄清洁行动联席会议制度，区农村人居环境整治专门办公室负责全区村庄清洁行动的统筹协调，区环保局、区城管局、区卫健委、区妇联、区团委等18个单位积极参与、密切配合，形成上下联动的工作机制。</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2、广泛宣传、全民参与。管理区通过区、镇（办事处）、村三级召开动员会；干部下基层搞大扫除示范带动；发放至全区群众的一封村庄清洁的倡议信；悬挂横幅、张贴标语；宣传车巡回宣讲等方式方法进行广泛宣传动员，充分激发农民群众“自己的事自己办”的自觉。截至12月底，累计发放宣传资料12000份，干部下乡2400余人次，发动群众9410人，形成了全民参与的良好氛围。</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3、重点整治、务求实效。在春节、清明、五一、国庆等时间节点，各村利用回乡人员返乡，学生放假的时机，采取“一事一议”、筹工筹劳等办法，组织开展了农村卫生大清理。总计清理陈年垃圾480余吨，清理农业生产废弃物数量46吨，拆除空心房间3196间，234120余平方，农村新增绿化面积7740平方米。 </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4、常抓不懈、共建共享。通过建设长效机制，推动农村环境大变样，让广大农民生活在公园里。一是建立村规民约制度。2021年全区各村对村规民约进行了修订，将“讲卫生，勤扫地，房前屋后无垃圾;讲秩序，有规矩，砖瓦柴草摆整齐”写进了村规民约，“村村响”广播定期播放，广大村民每天一小扫，每周一大扫，进一步改善村庄卫生。二是落实门前三包制度。全区各村农户与村委会签订了门前三包合同，每户负责各户房前屋后的卫生，每天清理垃圾，定期清除杂草，垃圾桶、车辆、农具有序摆放，家家户户门口种植“区花”三角梅。三是贯彻月月评比制度。全区各村每月组织村组干部共10人以上的评审团，对各自然村的清洁卫生进行现场查看、检查、评比，并在村组卫生评比红黑榜上公示，对“清洁”的家庭进行表扬并给予一定物资奖励。四是健全城乡统筹制度。全区采取市场化运作，投入280余万元，将城区公共卫生与乡村公共卫生一并纳入公共区域保洁范畴，外包给专业的保洁公司。2021年全区农村公共区域卫生保洁单价每平方米3.15元，保洁面积176342平方米。每个自然村安排每月400元专项用于村庄清洁资金，共计月30万元。</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b/>
          <w:bCs/>
          <w:kern w:val="0"/>
          <w:sz w:val="22"/>
          <w:szCs w:val="22"/>
          <w:u w:val="dotDash" w:color="FFFFFF" w:themeColor="background1"/>
          <w:lang w:val="en-US" w:eastAsia="zh-CN" w:bidi="ar-SA"/>
        </w:rPr>
      </w:pPr>
      <w:r>
        <w:rPr>
          <w:rFonts w:hint="eastAsia" w:ascii="微软雅黑" w:hAnsi="微软雅黑" w:eastAsia="微软雅黑" w:cstheme="minorBidi"/>
          <w:b/>
          <w:bCs/>
          <w:kern w:val="0"/>
          <w:sz w:val="22"/>
          <w:szCs w:val="22"/>
          <w:u w:val="dotDash" w:color="FFFFFF" w:themeColor="background1"/>
          <w:lang w:val="en-US" w:eastAsia="zh-CN" w:bidi="ar-SA"/>
        </w:rPr>
        <w:t>（五）其他工作</w:t>
      </w:r>
    </w:p>
    <w:p>
      <w:pPr>
        <w:keepNext w:val="0"/>
        <w:keepLines w:val="0"/>
        <w:pageBreakBefore w:val="0"/>
        <w:widowControl w:val="0"/>
        <w:kinsoku/>
        <w:wordWrap/>
        <w:overflowPunct/>
        <w:topLinePunct w:val="0"/>
        <w:autoSpaceDE/>
        <w:autoSpaceDN/>
        <w:bidi w:val="0"/>
        <w:adjustRightInd/>
        <w:snapToGrid/>
        <w:spacing w:line="500" w:lineRule="exact"/>
        <w:ind w:firstLine="440" w:firstLineChars="200"/>
        <w:textAlignment w:val="auto"/>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一农药监管工作，按要求发放农药经营许可证18家。二是农产品质量安全工作，在全区抽检水果、蔬菜、茶叶等农产品农残600批次，未发现农产品质量安全问题。三是大棚房整治工作，对全区所有疑似图斑进行了排查。其他各项工作均有序开展，达到各项任务指标要求。</w:t>
      </w:r>
    </w:p>
    <w:p>
      <w:pPr>
        <w:widowControl/>
        <w:shd w:val="clear" w:color="auto" w:fill="FFFFFF"/>
        <w:spacing w:line="600" w:lineRule="exact"/>
        <w:ind w:firstLine="440" w:firstLineChars="200"/>
        <w:jc w:val="left"/>
        <w:rPr>
          <w:rFonts w:hint="eastAsia" w:ascii="微软雅黑" w:hAnsi="微软雅黑" w:eastAsia="微软雅黑" w:cstheme="minorBidi"/>
          <w:b/>
          <w:bCs/>
          <w:kern w:val="0"/>
          <w:sz w:val="22"/>
          <w:szCs w:val="22"/>
          <w:u w:val="dotDash" w:color="FFFFFF" w:themeColor="background1"/>
          <w:lang w:val="en-US" w:eastAsia="zh-CN" w:bidi="ar-SA"/>
        </w:rPr>
      </w:pPr>
      <w:r>
        <w:rPr>
          <w:rFonts w:hint="eastAsia" w:ascii="微软雅黑" w:hAnsi="微软雅黑" w:eastAsia="微软雅黑" w:cstheme="minorBidi"/>
          <w:b/>
          <w:bCs/>
          <w:kern w:val="0"/>
          <w:sz w:val="22"/>
          <w:szCs w:val="22"/>
          <w:u w:val="dotDash" w:color="FFFFFF" w:themeColor="background1"/>
          <w:lang w:val="en-US" w:eastAsia="zh-CN" w:bidi="ar-SA"/>
        </w:rPr>
        <w:t>七、存在的问题及原因分析</w:t>
      </w:r>
    </w:p>
    <w:p>
      <w:pPr>
        <w:widowControl/>
        <w:ind w:firstLine="440" w:firstLineChars="200"/>
        <w:jc w:val="left"/>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预算编制和执行有待进一步提升，提高预算编制科学性，合理性，强化预算执行。</w:t>
      </w:r>
    </w:p>
    <w:p>
      <w:pPr>
        <w:widowControl/>
        <w:ind w:firstLine="440" w:firstLineChars="200"/>
        <w:jc w:val="left"/>
        <w:rPr>
          <w:rFonts w:hint="eastAsia" w:ascii="微软雅黑" w:hAnsi="微软雅黑" w:eastAsia="微软雅黑" w:cstheme="minorBidi"/>
          <w:b/>
          <w:bCs/>
          <w:kern w:val="0"/>
          <w:sz w:val="22"/>
          <w:szCs w:val="22"/>
          <w:u w:val="dotDash" w:color="FFFFFF" w:themeColor="background1"/>
          <w:lang w:val="en-US" w:eastAsia="zh-CN" w:bidi="ar-SA"/>
        </w:rPr>
      </w:pPr>
      <w:r>
        <w:rPr>
          <w:rFonts w:hint="eastAsia" w:ascii="微软雅黑" w:hAnsi="微软雅黑" w:eastAsia="微软雅黑" w:cstheme="minorBidi"/>
          <w:b/>
          <w:bCs/>
          <w:kern w:val="0"/>
          <w:sz w:val="22"/>
          <w:szCs w:val="22"/>
          <w:u w:val="dotDash" w:color="FFFFFF" w:themeColor="background1"/>
          <w:lang w:val="en-US" w:eastAsia="zh-CN" w:bidi="ar-SA"/>
        </w:rPr>
        <w:t>八、下一步改进措施</w:t>
      </w:r>
    </w:p>
    <w:p>
      <w:pPr>
        <w:widowControl/>
        <w:shd w:val="clear" w:color="auto" w:fill="FFFFFF"/>
        <w:spacing w:line="450" w:lineRule="atLeast"/>
        <w:ind w:firstLine="440" w:firstLineChars="200"/>
        <w:jc w:val="left"/>
        <w:rPr>
          <w:rFonts w:hint="eastAsia" w:ascii="微软雅黑" w:hAnsi="微软雅黑" w:eastAsia="微软雅黑" w:cstheme="minorBidi"/>
          <w:kern w:val="0"/>
          <w:sz w:val="22"/>
          <w:szCs w:val="22"/>
          <w:u w:val="dotDash" w:color="FFFFFF" w:themeColor="background1"/>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1、加强学习和培训。年初制定学习和培训计划，定期开展新制度、新法规学习、培训。</w:t>
      </w:r>
    </w:p>
    <w:p>
      <w:pPr>
        <w:widowControl/>
        <w:shd w:val="clear" w:color="auto" w:fill="FFFFFF"/>
        <w:spacing w:line="450" w:lineRule="atLeast"/>
        <w:ind w:firstLine="440" w:firstLineChars="200"/>
        <w:jc w:val="left"/>
        <w:rPr>
          <w:rFonts w:ascii="仿宋" w:hAnsi="仿宋" w:eastAsia="仿宋" w:cs="仿宋"/>
          <w:kern w:val="0"/>
          <w:sz w:val="30"/>
          <w:szCs w:val="30"/>
          <w:lang w:val="en-US" w:eastAsia="zh-CN" w:bidi="ar-SA"/>
        </w:rPr>
      </w:pPr>
      <w:r>
        <w:rPr>
          <w:rFonts w:hint="eastAsia" w:ascii="微软雅黑" w:hAnsi="微软雅黑" w:eastAsia="微软雅黑" w:cstheme="minorBidi"/>
          <w:kern w:val="0"/>
          <w:sz w:val="22"/>
          <w:szCs w:val="22"/>
          <w:u w:val="dotDash" w:color="FFFFFF" w:themeColor="background1"/>
          <w:lang w:val="en-US" w:eastAsia="zh-CN" w:bidi="ar-SA"/>
        </w:rPr>
        <w:t>2、加强预算的约束力，细化预算编制工作。进一步加强预算管理意识，严格按照预算编制的相关制度和要求，公用经费根据单位的年度工作重点和项目专项工作规划，本着“勤俭节约、保障运转”的原则进行预算的编制。编制范围尽可能的全面，不漏项。严格控制，尽力避免超预算开支的情况发生，进一步提高预算编制的科学性、合理性、严谨性和可控性。</w:t>
      </w:r>
    </w:p>
    <w:p>
      <w:pPr>
        <w:widowControl/>
        <w:jc w:val="left"/>
        <w:rPr>
          <w:rFonts w:hint="eastAsia" w:ascii="微软雅黑" w:hAnsi="微软雅黑" w:eastAsia="微软雅黑"/>
          <w:kern w:val="0"/>
          <w:sz w:val="22"/>
          <w:u w:val="dotDash" w:color="FFFFFF" w:themeColor="background1"/>
          <w:lang w:eastAsia="zh-CN"/>
        </w:rPr>
      </w:pPr>
      <w:r>
        <w:rPr>
          <w:rFonts w:hint="eastAsia" w:ascii="微软雅黑" w:hAnsi="微软雅黑" w:eastAsia="微软雅黑"/>
          <w:kern w:val="0"/>
          <w:sz w:val="22"/>
          <w:u w:val="dotDash" w:color="FFFFFF" w:themeColor="background1"/>
        </w:rPr>
        <w:t>附表:部门决算公开</w:t>
      </w:r>
      <w:r>
        <w:rPr>
          <w:rFonts w:hint="eastAsia" w:ascii="微软雅黑" w:hAnsi="微软雅黑" w:eastAsia="微软雅黑"/>
          <w:kern w:val="0"/>
          <w:sz w:val="22"/>
          <w:u w:val="dotDash" w:color="FFFFFF" w:themeColor="background1"/>
        </w:rPr>
        <w:object>
          <v:shape id="_x0000_i1030" o:spt="75" type="#_x0000_t75" style="height:66pt;width:72.75pt;" o:ole="t" filled="f" o:preferrelative="t" stroked="f" coordsize="21600,21600">
            <v:path/>
            <v:fill on="f" focussize="0,0"/>
            <v:stroke on="f"/>
            <v:imagedata r:id="rId7" o:title=""/>
            <o:lock v:ext="edit" aspectratio="t"/>
            <w10:wrap type="none"/>
            <w10:anchorlock/>
          </v:shape>
          <o:OLEObject Type="Embed" ProgID="Excel.Sheet.8" ShapeID="_x0000_i1030" DrawAspect="Icon" ObjectID="_1468075725" r:id="rId6">
            <o:LockedField>false</o:LockedField>
          </o:OLEObject>
        </w:object>
      </w:r>
      <w:bookmarkStart w:id="0" w:name="_GoBack"/>
      <w:bookmarkEnd w:id="0"/>
    </w:p>
    <w:sectPr>
      <w:footerReference r:id="rId3" w:type="default"/>
      <w:footerReference r:id="rId4" w:type="even"/>
      <w:pgSz w:w="11906" w:h="16838"/>
      <w:pgMar w:top="1985" w:right="1474" w:bottom="1440"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55997"/>
      <w:docPartObj>
        <w:docPartGallery w:val="autotext"/>
      </w:docPartObj>
    </w:sdtPr>
    <w:sdtEndPr>
      <w:rPr>
        <w:rFonts w:asciiTheme="minorEastAsia" w:hAnsiTheme="minorEastAsia"/>
        <w:sz w:val="24"/>
        <w:szCs w:val="24"/>
      </w:rPr>
    </w:sdtEndPr>
    <w:sdtContent>
      <w:p>
        <w:pPr>
          <w:pStyle w:val="4"/>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15</w:t>
        </w:r>
        <w:r>
          <w:rPr>
            <w:rFonts w:asciiTheme="minorEastAsia" w:hAnsiTheme="minorEastAsia"/>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731080"/>
      <w:docPartObj>
        <w:docPartGallery w:val="autotext"/>
      </w:docPartObj>
    </w:sdtPr>
    <w:sdtEndPr>
      <w:rPr>
        <w:rFonts w:asciiTheme="minorEastAsia" w:hAnsiTheme="minorEastAsia"/>
        <w:sz w:val="24"/>
        <w:szCs w:val="24"/>
      </w:rPr>
    </w:sdtEndPr>
    <w:sdtContent>
      <w:p>
        <w:pPr>
          <w:pStyle w:val="4"/>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14</w:t>
        </w:r>
        <w:r>
          <w:rPr>
            <w:rFonts w:asciiTheme="minorEastAsia" w:hAnsiTheme="minorEastAsia"/>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C02109"/>
    <w:multiLevelType w:val="multilevel"/>
    <w:tmpl w:val="2BC02109"/>
    <w:lvl w:ilvl="0" w:tentative="0">
      <w:start w:val="1"/>
      <w:numFmt w:val="decimal"/>
      <w:lvlText w:val="%1."/>
      <w:lvlJc w:val="left"/>
      <w:pPr>
        <w:ind w:left="375" w:hanging="375"/>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6BE35AE"/>
    <w:multiLevelType w:val="multilevel"/>
    <w:tmpl w:val="46BE35A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5D5EF0"/>
    <w:multiLevelType w:val="multilevel"/>
    <w:tmpl w:val="705D5EF0"/>
    <w:lvl w:ilvl="0" w:tentative="0">
      <w:start w:val="3"/>
      <w:numFmt w:val="japaneseCounting"/>
      <w:lvlText w:val="（%1）"/>
      <w:lvlJc w:val="left"/>
      <w:pPr>
        <w:ind w:left="1780" w:hanging="1080"/>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U0Y2ZmYzNlYmZlODYwYzVhZjNlNmQ0YzNhZDAxNjMifQ=="/>
  </w:docVars>
  <w:rsids>
    <w:rsidRoot w:val="008241B6"/>
    <w:rsid w:val="00014562"/>
    <w:rsid w:val="000200DF"/>
    <w:rsid w:val="00042EC7"/>
    <w:rsid w:val="00066EA3"/>
    <w:rsid w:val="00086B7D"/>
    <w:rsid w:val="000959BC"/>
    <w:rsid w:val="000F28BC"/>
    <w:rsid w:val="001218C4"/>
    <w:rsid w:val="00162D27"/>
    <w:rsid w:val="00184FDC"/>
    <w:rsid w:val="001C2AED"/>
    <w:rsid w:val="001D52BB"/>
    <w:rsid w:val="00203163"/>
    <w:rsid w:val="00221F18"/>
    <w:rsid w:val="00231C60"/>
    <w:rsid w:val="00321768"/>
    <w:rsid w:val="003456F3"/>
    <w:rsid w:val="00352574"/>
    <w:rsid w:val="00382D64"/>
    <w:rsid w:val="003A0066"/>
    <w:rsid w:val="003C488A"/>
    <w:rsid w:val="003E7CEA"/>
    <w:rsid w:val="00414B67"/>
    <w:rsid w:val="004352E8"/>
    <w:rsid w:val="0045254E"/>
    <w:rsid w:val="00460279"/>
    <w:rsid w:val="00473C81"/>
    <w:rsid w:val="00482BCF"/>
    <w:rsid w:val="004B4170"/>
    <w:rsid w:val="004D2DEA"/>
    <w:rsid w:val="004D3859"/>
    <w:rsid w:val="004D396E"/>
    <w:rsid w:val="004F36CF"/>
    <w:rsid w:val="00575F1F"/>
    <w:rsid w:val="00615D7E"/>
    <w:rsid w:val="00622FC3"/>
    <w:rsid w:val="0062574F"/>
    <w:rsid w:val="00625B59"/>
    <w:rsid w:val="006308CC"/>
    <w:rsid w:val="00642E9D"/>
    <w:rsid w:val="00697257"/>
    <w:rsid w:val="006C0AEF"/>
    <w:rsid w:val="006E000F"/>
    <w:rsid w:val="007878A2"/>
    <w:rsid w:val="007A6BB7"/>
    <w:rsid w:val="007C5381"/>
    <w:rsid w:val="007D79B8"/>
    <w:rsid w:val="008241B6"/>
    <w:rsid w:val="00846FC4"/>
    <w:rsid w:val="0088190E"/>
    <w:rsid w:val="008B2C1B"/>
    <w:rsid w:val="008B75A5"/>
    <w:rsid w:val="008C7922"/>
    <w:rsid w:val="008E2B99"/>
    <w:rsid w:val="008E5D5D"/>
    <w:rsid w:val="009112D1"/>
    <w:rsid w:val="009A7F8D"/>
    <w:rsid w:val="009C26E1"/>
    <w:rsid w:val="009C518B"/>
    <w:rsid w:val="009E322A"/>
    <w:rsid w:val="009E7C96"/>
    <w:rsid w:val="009F10EF"/>
    <w:rsid w:val="00A45830"/>
    <w:rsid w:val="00A50405"/>
    <w:rsid w:val="00A7533C"/>
    <w:rsid w:val="00AB2F22"/>
    <w:rsid w:val="00AD47B8"/>
    <w:rsid w:val="00AF7DE4"/>
    <w:rsid w:val="00B27D60"/>
    <w:rsid w:val="00B61679"/>
    <w:rsid w:val="00B65130"/>
    <w:rsid w:val="00B729A1"/>
    <w:rsid w:val="00B87775"/>
    <w:rsid w:val="00B93EB9"/>
    <w:rsid w:val="00BC4DBD"/>
    <w:rsid w:val="00C04AF0"/>
    <w:rsid w:val="00C36F0A"/>
    <w:rsid w:val="00C444A5"/>
    <w:rsid w:val="00C7199C"/>
    <w:rsid w:val="00C7595B"/>
    <w:rsid w:val="00C85994"/>
    <w:rsid w:val="00CA0C6B"/>
    <w:rsid w:val="00CF40C9"/>
    <w:rsid w:val="00D16C14"/>
    <w:rsid w:val="00D41340"/>
    <w:rsid w:val="00D5605C"/>
    <w:rsid w:val="00D74706"/>
    <w:rsid w:val="00DD116C"/>
    <w:rsid w:val="00DE3D3C"/>
    <w:rsid w:val="00DF3963"/>
    <w:rsid w:val="00E22017"/>
    <w:rsid w:val="00E8016F"/>
    <w:rsid w:val="00EA23A7"/>
    <w:rsid w:val="00EA4BD9"/>
    <w:rsid w:val="00EB46FF"/>
    <w:rsid w:val="00EF175A"/>
    <w:rsid w:val="00EF3158"/>
    <w:rsid w:val="00F413CE"/>
    <w:rsid w:val="00F84EED"/>
    <w:rsid w:val="00FA40BC"/>
    <w:rsid w:val="00FA4362"/>
    <w:rsid w:val="00FA6ED6"/>
    <w:rsid w:val="00FB59B2"/>
    <w:rsid w:val="00FD1BCA"/>
    <w:rsid w:val="020B0779"/>
    <w:rsid w:val="1D3E5B63"/>
    <w:rsid w:val="22D30BC0"/>
    <w:rsid w:val="26A17641"/>
    <w:rsid w:val="2753521A"/>
    <w:rsid w:val="3F1C5210"/>
    <w:rsid w:val="4B2B79A0"/>
    <w:rsid w:val="54DF062F"/>
    <w:rsid w:val="57DD3A47"/>
    <w:rsid w:val="5B554361"/>
    <w:rsid w:val="5F351651"/>
    <w:rsid w:val="66354E46"/>
    <w:rsid w:val="6D1E00BF"/>
    <w:rsid w:val="6D1E11B0"/>
    <w:rsid w:val="6E762DFE"/>
    <w:rsid w:val="79F9791B"/>
    <w:rsid w:val="7A6730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line="576" w:lineRule="auto"/>
      <w:outlineLvl w:val="0"/>
    </w:pPr>
    <w:rPr>
      <w:b/>
      <w:kern w:val="44"/>
      <w:sz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3">
    <w:name w:val="List Paragraph"/>
    <w:basedOn w:val="1"/>
    <w:qFormat/>
    <w:uiPriority w:val="0"/>
    <w:pPr>
      <w:ind w:firstLine="420" w:firstLineChars="200"/>
    </w:pPr>
  </w:style>
  <w:style w:type="character" w:customStyle="1" w:styleId="14">
    <w:name w:val="批注框文本 Char"/>
    <w:basedOn w:val="8"/>
    <w:link w:val="3"/>
    <w:semiHidden/>
    <w:qFormat/>
    <w:uiPriority w:val="99"/>
    <w:rPr>
      <w:sz w:val="18"/>
      <w:szCs w:val="18"/>
    </w:rPr>
  </w:style>
  <w:style w:type="character" w:customStyle="1" w:styleId="15">
    <w:name w:val="标题 1 Char"/>
    <w:basedOn w:val="8"/>
    <w:link w:val="2"/>
    <w:qFormat/>
    <w:uiPriority w:val="9"/>
    <w:rPr>
      <w:rFonts w:asciiTheme="minorHAnsi" w:hAnsiTheme="minorHAnsi" w:eastAsiaTheme="minorEastAsia" w:cstheme="minorBidi"/>
      <w:b/>
      <w:kern w:val="44"/>
      <w:sz w:val="44"/>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C03A-1B52-4715-BFDA-0A54EFFA504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11284</Words>
  <Characters>12023</Characters>
  <Lines>95</Lines>
  <Paragraphs>26</Paragraphs>
  <TotalTime>0</TotalTime>
  <ScaleCrop>false</ScaleCrop>
  <LinksUpToDate>false</LinksUpToDate>
  <CharactersWithSpaces>12056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2021-10-19T01:46:00Z</dcterms:created>
  <dc:creator>李航 null</dc:creator>
  <cp:lastModifiedBy>　　　永</cp:lastModifiedBy>
  <cp:lastPrinted>2021-10-19T01:42:00Z</cp:lastPrinted>
  <dcterms:modified xsi:type="dcterms:W3CDTF">2022-10-13T09:23:27Z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C84AD96275A8416BA8C5643EB53D9073</vt:lpwstr>
  </property>
</Properties>
</file>