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微软雅黑" w:hAnsi="微软雅黑" w:eastAsia="微软雅黑"/>
          <w:bCs/>
          <w:kern w:val="0"/>
          <w:sz w:val="22"/>
        </w:rPr>
      </w:pPr>
    </w:p>
    <w:p>
      <w:pPr>
        <w:widowControl/>
        <w:spacing w:line="600" w:lineRule="exact"/>
        <w:jc w:val="center"/>
        <w:rPr>
          <w:rFonts w:ascii="微软雅黑" w:hAnsi="微软雅黑" w:eastAsia="微软雅黑"/>
          <w:bCs/>
          <w:kern w:val="0"/>
          <w:sz w:val="28"/>
          <w:szCs w:val="28"/>
        </w:rPr>
      </w:pPr>
      <w:r>
        <w:rPr>
          <w:rFonts w:hint="eastAsia" w:ascii="微软雅黑" w:hAnsi="微软雅黑" w:eastAsia="微软雅黑"/>
          <w:bCs/>
          <w:kern w:val="0"/>
          <w:sz w:val="28"/>
          <w:szCs w:val="28"/>
        </w:rPr>
        <w:t>永州市回龙圩管理区经济作物管理办公室2021</w:t>
      </w:r>
      <w:r>
        <w:rPr>
          <w:rFonts w:ascii="微软雅黑" w:hAnsi="微软雅黑" w:eastAsia="微软雅黑"/>
          <w:bCs/>
          <w:kern w:val="0"/>
          <w:sz w:val="28"/>
          <w:szCs w:val="28"/>
        </w:rPr>
        <w:t>年部门</w:t>
      </w:r>
      <w:r>
        <w:rPr>
          <w:rFonts w:hint="eastAsia" w:ascii="微软雅黑" w:hAnsi="微软雅黑" w:eastAsia="微软雅黑"/>
          <w:bCs/>
          <w:kern w:val="0"/>
          <w:sz w:val="28"/>
          <w:szCs w:val="28"/>
        </w:rPr>
        <w:t>决</w:t>
      </w:r>
      <w:r>
        <w:rPr>
          <w:rFonts w:ascii="微软雅黑" w:hAnsi="微软雅黑" w:eastAsia="微软雅黑"/>
          <w:bCs/>
          <w:kern w:val="0"/>
          <w:sz w:val="28"/>
          <w:szCs w:val="28"/>
        </w:rPr>
        <w:t>算</w:t>
      </w:r>
      <w:r>
        <w:rPr>
          <w:rFonts w:hint="eastAsia" w:ascii="微软雅黑" w:hAnsi="微软雅黑" w:eastAsia="微软雅黑"/>
          <w:bCs/>
          <w:kern w:val="0"/>
          <w:sz w:val="28"/>
          <w:szCs w:val="28"/>
        </w:rPr>
        <w:t>公开</w:t>
      </w:r>
    </w:p>
    <w:p>
      <w:pPr>
        <w:widowControl/>
        <w:spacing w:line="600" w:lineRule="exact"/>
        <w:jc w:val="center"/>
        <w:rPr>
          <w:rFonts w:ascii="微软雅黑" w:hAnsi="微软雅黑" w:eastAsia="微软雅黑"/>
          <w:bCs/>
          <w:kern w:val="0"/>
          <w:sz w:val="28"/>
          <w:szCs w:val="28"/>
        </w:rPr>
      </w:pPr>
    </w:p>
    <w:p>
      <w:pPr>
        <w:widowControl/>
        <w:spacing w:line="600" w:lineRule="exact"/>
        <w:jc w:val="center"/>
        <w:rPr>
          <w:rFonts w:ascii="微软雅黑" w:hAnsi="微软雅黑" w:eastAsia="微软雅黑"/>
          <w:b/>
          <w:kern w:val="0"/>
          <w:sz w:val="22"/>
        </w:rPr>
      </w:pPr>
      <w:r>
        <w:rPr>
          <w:rFonts w:ascii="微软雅黑" w:hAnsi="微软雅黑" w:eastAsia="微软雅黑"/>
          <w:b/>
          <w:kern w:val="0"/>
          <w:sz w:val="22"/>
        </w:rPr>
        <w:t>目 录</w:t>
      </w:r>
    </w:p>
    <w:p>
      <w:pPr>
        <w:widowControl/>
        <w:spacing w:line="600" w:lineRule="exact"/>
        <w:ind w:firstLine="440" w:firstLineChars="200"/>
        <w:rPr>
          <w:rFonts w:ascii="微软雅黑" w:hAnsi="微软雅黑" w:eastAsia="微软雅黑"/>
          <w:b/>
          <w:bCs/>
          <w:kern w:val="0"/>
          <w:sz w:val="22"/>
        </w:rPr>
      </w:pPr>
      <w:r>
        <w:rPr>
          <w:rFonts w:ascii="微软雅黑" w:hAnsi="微软雅黑" w:eastAsia="微软雅黑"/>
          <w:b/>
          <w:bCs/>
          <w:kern w:val="0"/>
          <w:sz w:val="22"/>
        </w:rPr>
        <w:t xml:space="preserve">第一部分 </w:t>
      </w:r>
      <w:r>
        <w:rPr>
          <w:rFonts w:hint="eastAsia" w:ascii="微软雅黑" w:hAnsi="微软雅黑" w:eastAsia="微软雅黑"/>
          <w:b/>
          <w:bCs/>
          <w:kern w:val="0"/>
          <w:sz w:val="22"/>
        </w:rPr>
        <w:t>永州市回龙圩管理区经济作物管理办公室</w:t>
      </w:r>
      <w:r>
        <w:rPr>
          <w:rFonts w:ascii="微软雅黑" w:hAnsi="微软雅黑" w:eastAsia="微软雅黑"/>
          <w:b/>
          <w:bCs/>
          <w:kern w:val="0"/>
          <w:sz w:val="22"/>
        </w:rPr>
        <w:t>部门概况</w:t>
      </w:r>
    </w:p>
    <w:p>
      <w:pPr>
        <w:pStyle w:val="28"/>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1、部门职责</w:t>
      </w:r>
    </w:p>
    <w:p>
      <w:pPr>
        <w:pStyle w:val="28"/>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2、机构设置</w:t>
      </w:r>
    </w:p>
    <w:p>
      <w:pPr>
        <w:widowControl/>
        <w:spacing w:line="600" w:lineRule="exact"/>
        <w:ind w:firstLine="440" w:firstLineChars="200"/>
        <w:jc w:val="left"/>
        <w:rPr>
          <w:rFonts w:ascii="微软雅黑" w:hAnsi="微软雅黑" w:eastAsia="微软雅黑"/>
          <w:b/>
          <w:bCs/>
          <w:kern w:val="0"/>
          <w:sz w:val="22"/>
        </w:rPr>
      </w:pPr>
      <w:r>
        <w:rPr>
          <w:rFonts w:ascii="微软雅黑" w:hAnsi="微软雅黑" w:eastAsia="微软雅黑"/>
          <w:b/>
          <w:bCs/>
          <w:kern w:val="0"/>
          <w:sz w:val="22"/>
        </w:rPr>
        <w:t>第二部分部门决算表</w:t>
      </w:r>
    </w:p>
    <w:p>
      <w:pPr>
        <w:pStyle w:val="28"/>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1、</w:t>
      </w:r>
      <w:r>
        <w:rPr>
          <w:rFonts w:hint="eastAsia" w:ascii="微软雅黑" w:hAnsi="微软雅黑" w:eastAsia="微软雅黑" w:cs="Times New Roman"/>
          <w:sz w:val="22"/>
          <w:szCs w:val="22"/>
        </w:rPr>
        <w:t>部门收支</w:t>
      </w:r>
      <w:r>
        <w:rPr>
          <w:rFonts w:ascii="微软雅黑" w:hAnsi="微软雅黑" w:eastAsia="微软雅黑" w:cs="Times New Roman"/>
          <w:sz w:val="22"/>
          <w:szCs w:val="22"/>
        </w:rPr>
        <w:t>决算总表</w:t>
      </w:r>
    </w:p>
    <w:p>
      <w:pPr>
        <w:pStyle w:val="28"/>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2、</w:t>
      </w:r>
      <w:r>
        <w:rPr>
          <w:rFonts w:hint="eastAsia" w:ascii="微软雅黑" w:hAnsi="微软雅黑" w:eastAsia="微软雅黑" w:cs="Times New Roman"/>
          <w:sz w:val="22"/>
          <w:szCs w:val="22"/>
        </w:rPr>
        <w:t>部门</w:t>
      </w:r>
      <w:r>
        <w:rPr>
          <w:rFonts w:ascii="微软雅黑" w:hAnsi="微软雅黑" w:eastAsia="微软雅黑" w:cs="Times New Roman"/>
          <w:sz w:val="22"/>
          <w:szCs w:val="22"/>
        </w:rPr>
        <w:t>收入决算表</w:t>
      </w:r>
    </w:p>
    <w:p>
      <w:pPr>
        <w:pStyle w:val="28"/>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3、</w:t>
      </w:r>
      <w:r>
        <w:rPr>
          <w:rFonts w:hint="eastAsia" w:ascii="微软雅黑" w:hAnsi="微软雅黑" w:eastAsia="微软雅黑" w:cs="Times New Roman"/>
          <w:sz w:val="22"/>
          <w:szCs w:val="22"/>
        </w:rPr>
        <w:t>部门</w:t>
      </w:r>
      <w:r>
        <w:rPr>
          <w:rFonts w:ascii="微软雅黑" w:hAnsi="微软雅黑" w:eastAsia="微软雅黑" w:cs="Times New Roman"/>
          <w:sz w:val="22"/>
          <w:szCs w:val="22"/>
        </w:rPr>
        <w:t>支出决算表</w:t>
      </w:r>
    </w:p>
    <w:p>
      <w:pPr>
        <w:pStyle w:val="28"/>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4、财政拨款</w:t>
      </w:r>
      <w:r>
        <w:rPr>
          <w:rFonts w:hint="eastAsia" w:ascii="微软雅黑" w:hAnsi="微软雅黑" w:eastAsia="微软雅黑" w:cs="Times New Roman"/>
          <w:sz w:val="22"/>
          <w:szCs w:val="22"/>
        </w:rPr>
        <w:t>收支</w:t>
      </w:r>
      <w:r>
        <w:rPr>
          <w:rFonts w:ascii="微软雅黑" w:hAnsi="微软雅黑" w:eastAsia="微软雅黑" w:cs="Times New Roman"/>
          <w:sz w:val="22"/>
          <w:szCs w:val="22"/>
        </w:rPr>
        <w:t>决算总表</w:t>
      </w:r>
    </w:p>
    <w:p>
      <w:pPr>
        <w:pStyle w:val="28"/>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5、一般公共预算财政拨款支出决算表</w:t>
      </w:r>
    </w:p>
    <w:p>
      <w:pPr>
        <w:pStyle w:val="28"/>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6、一般公共预算财政拨款基本支出决算表</w:t>
      </w:r>
    </w:p>
    <w:p>
      <w:pPr>
        <w:pStyle w:val="28"/>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7、一般公共预算财政拨款“三公”经费支出决算表</w:t>
      </w:r>
    </w:p>
    <w:p>
      <w:pPr>
        <w:pStyle w:val="28"/>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8、政府性基金预算财政拨款收入支出决算表</w:t>
      </w:r>
    </w:p>
    <w:p>
      <w:pPr>
        <w:pStyle w:val="28"/>
        <w:spacing w:line="600" w:lineRule="exact"/>
        <w:ind w:firstLine="550" w:firstLineChars="250"/>
        <w:rPr>
          <w:rFonts w:ascii="微软雅黑" w:hAnsi="微软雅黑" w:eastAsia="微软雅黑" w:cs="Times New Roman"/>
          <w:sz w:val="22"/>
          <w:szCs w:val="22"/>
        </w:rPr>
      </w:pPr>
      <w:r>
        <w:rPr>
          <w:rFonts w:hint="eastAsia" w:ascii="微软雅黑" w:hAnsi="微软雅黑" w:eastAsia="微软雅黑" w:cs="Times New Roman"/>
          <w:sz w:val="22"/>
          <w:szCs w:val="22"/>
        </w:rPr>
        <w:t>9</w:t>
      </w:r>
      <w:r>
        <w:rPr>
          <w:rFonts w:ascii="微软雅黑" w:hAnsi="微软雅黑" w:eastAsia="微软雅黑" w:cs="Times New Roman"/>
          <w:sz w:val="22"/>
          <w:szCs w:val="22"/>
        </w:rPr>
        <w:t>、</w:t>
      </w:r>
      <w:r>
        <w:rPr>
          <w:rFonts w:hint="eastAsia" w:ascii="微软雅黑" w:hAnsi="微软雅黑" w:eastAsia="微软雅黑" w:cs="Times New Roman"/>
          <w:sz w:val="22"/>
          <w:szCs w:val="22"/>
        </w:rPr>
        <w:t>国有资本经营预算财政拨款支出决算表</w:t>
      </w:r>
    </w:p>
    <w:p>
      <w:pPr>
        <w:widowControl/>
        <w:spacing w:line="600" w:lineRule="exact"/>
        <w:ind w:firstLine="440" w:firstLineChars="200"/>
        <w:jc w:val="left"/>
        <w:rPr>
          <w:rFonts w:ascii="微软雅黑" w:hAnsi="微软雅黑" w:eastAsia="微软雅黑"/>
          <w:b/>
          <w:bCs/>
          <w:kern w:val="0"/>
          <w:sz w:val="22"/>
        </w:rPr>
      </w:pPr>
      <w:r>
        <w:rPr>
          <w:rFonts w:ascii="微软雅黑" w:hAnsi="微软雅黑" w:eastAsia="微软雅黑"/>
          <w:b/>
          <w:bCs/>
          <w:kern w:val="0"/>
          <w:sz w:val="22"/>
        </w:rPr>
        <w:t>第三部分</w:t>
      </w:r>
      <w:r>
        <w:rPr>
          <w:rFonts w:hint="eastAsia" w:ascii="微软雅黑" w:hAnsi="微软雅黑" w:eastAsia="微软雅黑"/>
          <w:b/>
          <w:bCs/>
          <w:kern w:val="0"/>
          <w:sz w:val="22"/>
        </w:rPr>
        <w:t>2021</w:t>
      </w:r>
      <w:r>
        <w:rPr>
          <w:rFonts w:ascii="微软雅黑" w:hAnsi="微软雅黑" w:eastAsia="微软雅黑"/>
          <w:b/>
          <w:bCs/>
          <w:kern w:val="0"/>
          <w:sz w:val="22"/>
        </w:rPr>
        <w:t>年度部门决算情况说明</w:t>
      </w:r>
    </w:p>
    <w:p>
      <w:pPr>
        <w:pStyle w:val="28"/>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1、收入支出决算总体情况说明</w:t>
      </w:r>
    </w:p>
    <w:p>
      <w:pPr>
        <w:spacing w:line="600" w:lineRule="exact"/>
        <w:ind w:firstLine="550" w:firstLineChars="250"/>
        <w:jc w:val="left"/>
        <w:rPr>
          <w:rFonts w:ascii="微软雅黑" w:hAnsi="微软雅黑" w:eastAsia="微软雅黑"/>
          <w:sz w:val="22"/>
        </w:rPr>
      </w:pPr>
      <w:r>
        <w:rPr>
          <w:rFonts w:ascii="微软雅黑" w:hAnsi="微软雅黑" w:eastAsia="微软雅黑"/>
          <w:sz w:val="22"/>
        </w:rPr>
        <w:t>2、收入决算情况说明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ascii="微软雅黑" w:hAnsi="微软雅黑" w:eastAsia="微软雅黑"/>
          <w:color w:val="000000"/>
          <w:kern w:val="0"/>
          <w:sz w:val="22"/>
        </w:rPr>
        <w:t>3、支出决算情况说明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ascii="微软雅黑" w:hAnsi="微软雅黑" w:eastAsia="微软雅黑"/>
          <w:color w:val="000000"/>
          <w:kern w:val="0"/>
          <w:sz w:val="22"/>
        </w:rPr>
        <w:t>4、财政拨款收入支出决算总体情况说明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ascii="微软雅黑" w:hAnsi="微软雅黑" w:eastAsia="微软雅黑"/>
          <w:color w:val="000000"/>
          <w:kern w:val="0"/>
          <w:sz w:val="22"/>
        </w:rPr>
        <w:t>5、一般公共预算财政拨款支出决算情况说明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ascii="微软雅黑" w:hAnsi="微软雅黑" w:eastAsia="微软雅黑"/>
          <w:color w:val="000000"/>
          <w:kern w:val="0"/>
          <w:sz w:val="22"/>
        </w:rPr>
        <w:t>6、一般公共预算财政拨款基本支出决算情况说明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ascii="微软雅黑" w:hAnsi="微软雅黑" w:eastAsia="微软雅黑"/>
          <w:color w:val="000000"/>
          <w:kern w:val="0"/>
          <w:sz w:val="22"/>
        </w:rPr>
        <w:t>7、一般公共预算财政拨款三公经费支出决算情况说明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ascii="微软雅黑" w:hAnsi="微软雅黑" w:eastAsia="微软雅黑"/>
          <w:color w:val="000000"/>
          <w:kern w:val="0"/>
          <w:sz w:val="22"/>
        </w:rPr>
        <w:t>8、政府性基金预算收入支出决算情况</w:t>
      </w:r>
      <w:r>
        <w:rPr>
          <w:rFonts w:hint="eastAsia" w:ascii="微软雅黑" w:hAnsi="微软雅黑" w:eastAsia="微软雅黑"/>
          <w:color w:val="000000"/>
          <w:kern w:val="0"/>
          <w:sz w:val="22"/>
        </w:rPr>
        <w:t>说明</w:t>
      </w:r>
    </w:p>
    <w:p>
      <w:pPr>
        <w:pStyle w:val="28"/>
        <w:spacing w:line="600" w:lineRule="exact"/>
        <w:ind w:firstLine="550" w:firstLineChars="250"/>
        <w:rPr>
          <w:rFonts w:ascii="微软雅黑" w:hAnsi="微软雅黑" w:eastAsia="微软雅黑" w:cs="Times New Roman"/>
          <w:sz w:val="22"/>
          <w:szCs w:val="22"/>
        </w:rPr>
      </w:pPr>
      <w:r>
        <w:rPr>
          <w:rFonts w:hint="eastAsia" w:ascii="微软雅黑" w:hAnsi="微软雅黑" w:eastAsia="微软雅黑" w:cs="Times New Roman"/>
          <w:sz w:val="22"/>
          <w:szCs w:val="22"/>
        </w:rPr>
        <w:t>9</w:t>
      </w:r>
      <w:r>
        <w:rPr>
          <w:rFonts w:ascii="微软雅黑" w:hAnsi="微软雅黑" w:eastAsia="微软雅黑" w:cs="Times New Roman"/>
          <w:sz w:val="22"/>
          <w:szCs w:val="22"/>
        </w:rPr>
        <w:t>、</w:t>
      </w:r>
      <w:r>
        <w:rPr>
          <w:rFonts w:hint="eastAsia" w:ascii="微软雅黑" w:hAnsi="微软雅黑" w:eastAsia="微软雅黑" w:cs="Times New Roman"/>
          <w:sz w:val="22"/>
          <w:szCs w:val="22"/>
        </w:rPr>
        <w:t>国有资本经营预算财政拨款支出决算情况说明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hint="eastAsia" w:ascii="微软雅黑" w:hAnsi="微软雅黑" w:eastAsia="微软雅黑"/>
          <w:color w:val="000000"/>
          <w:kern w:val="0"/>
          <w:sz w:val="22"/>
        </w:rPr>
        <w:t>10</w:t>
      </w:r>
      <w:r>
        <w:rPr>
          <w:rFonts w:ascii="微软雅黑" w:hAnsi="微软雅黑" w:eastAsia="微软雅黑"/>
          <w:color w:val="000000"/>
          <w:kern w:val="0"/>
          <w:sz w:val="22"/>
        </w:rPr>
        <w:t>、预算绩效情况说明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hint="eastAsia" w:ascii="微软雅黑" w:hAnsi="微软雅黑" w:eastAsia="微软雅黑"/>
          <w:color w:val="000000"/>
          <w:kern w:val="0"/>
          <w:sz w:val="22"/>
        </w:rPr>
        <w:t>11</w:t>
      </w:r>
      <w:r>
        <w:rPr>
          <w:rFonts w:ascii="微软雅黑" w:hAnsi="微软雅黑" w:eastAsia="微软雅黑"/>
          <w:color w:val="000000"/>
          <w:kern w:val="0"/>
          <w:sz w:val="22"/>
        </w:rPr>
        <w:t>、其他重要事项情况说明</w:t>
      </w:r>
    </w:p>
    <w:p>
      <w:pPr>
        <w:widowControl/>
        <w:spacing w:line="600" w:lineRule="exact"/>
        <w:ind w:firstLine="440" w:firstLineChars="200"/>
        <w:jc w:val="left"/>
        <w:rPr>
          <w:rFonts w:ascii="微软雅黑" w:hAnsi="微软雅黑" w:eastAsia="微软雅黑"/>
          <w:b/>
          <w:bCs/>
          <w:kern w:val="0"/>
          <w:sz w:val="22"/>
        </w:rPr>
      </w:pPr>
      <w:r>
        <w:rPr>
          <w:rFonts w:ascii="微软雅黑" w:hAnsi="微软雅黑" w:eastAsia="微软雅黑"/>
          <w:b/>
          <w:bCs/>
          <w:kern w:val="0"/>
          <w:sz w:val="22"/>
        </w:rPr>
        <w:t>第四部分名词解释</w:t>
      </w:r>
    </w:p>
    <w:p>
      <w:pPr>
        <w:widowControl/>
        <w:spacing w:line="600" w:lineRule="exact"/>
        <w:ind w:firstLine="440" w:firstLineChars="200"/>
        <w:jc w:val="left"/>
        <w:rPr>
          <w:rFonts w:ascii="微软雅黑" w:hAnsi="微软雅黑" w:eastAsia="微软雅黑"/>
          <w:b/>
          <w:bCs/>
          <w:kern w:val="0"/>
          <w:sz w:val="22"/>
        </w:rPr>
      </w:pPr>
      <w:r>
        <w:rPr>
          <w:rFonts w:hint="eastAsia" w:ascii="微软雅黑" w:hAnsi="微软雅黑" w:eastAsia="微软雅黑"/>
          <w:b/>
          <w:bCs/>
          <w:kern w:val="0"/>
          <w:sz w:val="22"/>
        </w:rPr>
        <w:t>财政拨款收入</w:t>
      </w:r>
    </w:p>
    <w:p>
      <w:pPr>
        <w:widowControl/>
        <w:spacing w:line="600" w:lineRule="exact"/>
        <w:ind w:firstLine="440" w:firstLineChars="200"/>
        <w:jc w:val="left"/>
        <w:rPr>
          <w:rFonts w:ascii="微软雅黑" w:hAnsi="微软雅黑" w:eastAsia="微软雅黑"/>
          <w:b/>
          <w:bCs/>
          <w:kern w:val="0"/>
          <w:sz w:val="22"/>
        </w:rPr>
      </w:pPr>
      <w:r>
        <w:rPr>
          <w:rFonts w:hint="eastAsia" w:ascii="微软雅黑" w:hAnsi="微软雅黑" w:eastAsia="微软雅黑"/>
          <w:b/>
          <w:bCs/>
          <w:kern w:val="0"/>
          <w:sz w:val="22"/>
        </w:rPr>
        <w:t>事业收入</w:t>
      </w:r>
    </w:p>
    <w:p>
      <w:pPr>
        <w:widowControl/>
        <w:spacing w:line="600" w:lineRule="exact"/>
        <w:ind w:firstLine="440" w:firstLineChars="200"/>
        <w:jc w:val="left"/>
        <w:rPr>
          <w:rFonts w:ascii="微软雅黑" w:hAnsi="微软雅黑" w:eastAsia="微软雅黑"/>
          <w:b/>
          <w:bCs/>
          <w:kern w:val="0"/>
          <w:sz w:val="22"/>
        </w:rPr>
      </w:pPr>
      <w:r>
        <w:rPr>
          <w:rFonts w:hint="eastAsia" w:ascii="微软雅黑" w:hAnsi="微软雅黑" w:eastAsia="微软雅黑"/>
          <w:b/>
          <w:bCs/>
          <w:kern w:val="0"/>
          <w:sz w:val="22"/>
        </w:rPr>
        <w:t>其他收入</w:t>
      </w:r>
    </w:p>
    <w:p>
      <w:pPr>
        <w:widowControl/>
        <w:spacing w:line="600" w:lineRule="exact"/>
        <w:ind w:firstLine="440" w:firstLineChars="200"/>
        <w:jc w:val="left"/>
        <w:rPr>
          <w:rFonts w:ascii="微软雅黑" w:hAnsi="微软雅黑" w:eastAsia="微软雅黑"/>
          <w:b/>
          <w:bCs/>
          <w:kern w:val="0"/>
          <w:sz w:val="22"/>
        </w:rPr>
      </w:pPr>
      <w:r>
        <w:rPr>
          <w:rFonts w:hint="eastAsia" w:ascii="微软雅黑" w:hAnsi="微软雅黑" w:eastAsia="微软雅黑"/>
          <w:b/>
          <w:bCs/>
          <w:kern w:val="0"/>
          <w:sz w:val="22"/>
        </w:rPr>
        <w:t>年初结转和结余</w:t>
      </w:r>
    </w:p>
    <w:p>
      <w:pPr>
        <w:widowControl/>
        <w:spacing w:line="600" w:lineRule="exact"/>
        <w:ind w:firstLine="440" w:firstLineChars="200"/>
        <w:jc w:val="left"/>
        <w:rPr>
          <w:rFonts w:ascii="微软雅黑" w:hAnsi="微软雅黑" w:eastAsia="微软雅黑"/>
          <w:b/>
          <w:bCs/>
          <w:kern w:val="0"/>
          <w:sz w:val="22"/>
        </w:rPr>
      </w:pPr>
      <w:r>
        <w:rPr>
          <w:rFonts w:hint="eastAsia" w:ascii="微软雅黑" w:hAnsi="微软雅黑" w:eastAsia="微软雅黑"/>
          <w:b/>
          <w:bCs/>
          <w:kern w:val="0"/>
          <w:sz w:val="22"/>
        </w:rPr>
        <w:t>年未结转和结余</w:t>
      </w:r>
    </w:p>
    <w:p>
      <w:pPr>
        <w:widowControl/>
        <w:spacing w:line="600" w:lineRule="exact"/>
        <w:ind w:firstLine="440" w:firstLineChars="200"/>
        <w:jc w:val="left"/>
        <w:rPr>
          <w:rFonts w:ascii="微软雅黑" w:hAnsi="微软雅黑" w:eastAsia="微软雅黑"/>
          <w:b/>
          <w:bCs/>
          <w:kern w:val="0"/>
          <w:sz w:val="22"/>
        </w:rPr>
      </w:pPr>
      <w:r>
        <w:rPr>
          <w:rFonts w:hint="eastAsia" w:ascii="微软雅黑" w:hAnsi="微软雅黑" w:eastAsia="微软雅黑"/>
          <w:b/>
          <w:bCs/>
          <w:kern w:val="0"/>
          <w:sz w:val="22"/>
        </w:rPr>
        <w:t>基本支出</w:t>
      </w:r>
    </w:p>
    <w:p>
      <w:pPr>
        <w:widowControl/>
        <w:spacing w:line="600" w:lineRule="exact"/>
        <w:ind w:firstLine="440" w:firstLineChars="200"/>
        <w:jc w:val="left"/>
        <w:rPr>
          <w:rFonts w:ascii="微软雅黑" w:hAnsi="微软雅黑" w:eastAsia="微软雅黑"/>
          <w:b/>
          <w:bCs/>
          <w:kern w:val="0"/>
          <w:sz w:val="22"/>
        </w:rPr>
      </w:pPr>
      <w:r>
        <w:rPr>
          <w:rFonts w:hint="eastAsia" w:ascii="微软雅黑" w:hAnsi="微软雅黑" w:eastAsia="微软雅黑"/>
          <w:b/>
          <w:bCs/>
          <w:kern w:val="0"/>
          <w:sz w:val="22"/>
        </w:rPr>
        <w:t>项目支出</w:t>
      </w:r>
    </w:p>
    <w:p>
      <w:pPr>
        <w:widowControl/>
        <w:spacing w:line="600" w:lineRule="exact"/>
        <w:ind w:firstLine="440" w:firstLineChars="200"/>
        <w:jc w:val="left"/>
        <w:rPr>
          <w:rFonts w:ascii="微软雅黑" w:hAnsi="微软雅黑" w:eastAsia="微软雅黑"/>
          <w:b/>
          <w:bCs/>
          <w:kern w:val="0"/>
          <w:sz w:val="22"/>
        </w:rPr>
      </w:pPr>
      <w:r>
        <w:rPr>
          <w:rFonts w:ascii="微软雅黑" w:hAnsi="微软雅黑" w:eastAsia="微软雅黑"/>
          <w:b/>
          <w:bCs/>
          <w:kern w:val="0"/>
          <w:sz w:val="22"/>
        </w:rPr>
        <w:t>第五部分附件</w:t>
      </w:r>
    </w:p>
    <w:p>
      <w:pPr>
        <w:widowControl/>
        <w:spacing w:line="600" w:lineRule="exact"/>
        <w:ind w:firstLine="440" w:firstLineChars="200"/>
        <w:jc w:val="left"/>
        <w:rPr>
          <w:rFonts w:ascii="微软雅黑" w:hAnsi="微软雅黑" w:eastAsia="微软雅黑"/>
          <w:b/>
          <w:bCs/>
          <w:kern w:val="0"/>
          <w:sz w:val="22"/>
        </w:rPr>
      </w:pPr>
      <w:r>
        <w:rPr>
          <w:rFonts w:hint="eastAsia" w:ascii="微软雅黑" w:hAnsi="微软雅黑" w:eastAsia="微软雅黑"/>
          <w:b/>
          <w:bCs/>
          <w:kern w:val="0"/>
          <w:sz w:val="22"/>
        </w:rPr>
        <w:t>2021年部门整体绩效评价报告</w:t>
      </w:r>
    </w:p>
    <w:p>
      <w:pPr>
        <w:widowControl/>
        <w:spacing w:line="600" w:lineRule="exact"/>
        <w:rPr>
          <w:rFonts w:ascii="微软雅黑" w:hAnsi="微软雅黑" w:eastAsia="微软雅黑"/>
          <w:bCs/>
          <w:kern w:val="0"/>
          <w:sz w:val="22"/>
        </w:rPr>
      </w:pPr>
    </w:p>
    <w:p>
      <w:pPr>
        <w:widowControl/>
        <w:spacing w:line="600" w:lineRule="exact"/>
        <w:rPr>
          <w:rFonts w:ascii="微软雅黑" w:hAnsi="微软雅黑" w:eastAsia="微软雅黑"/>
          <w:bCs/>
          <w:kern w:val="0"/>
          <w:sz w:val="22"/>
        </w:rPr>
      </w:pPr>
    </w:p>
    <w:p>
      <w:pPr>
        <w:widowControl/>
        <w:spacing w:line="600" w:lineRule="exact"/>
        <w:rPr>
          <w:rFonts w:ascii="微软雅黑" w:hAnsi="微软雅黑" w:eastAsia="微软雅黑"/>
          <w:bCs/>
          <w:kern w:val="0"/>
          <w:sz w:val="22"/>
        </w:rPr>
      </w:pPr>
    </w:p>
    <w:p>
      <w:pPr>
        <w:widowControl/>
        <w:spacing w:line="600" w:lineRule="exact"/>
        <w:rPr>
          <w:rFonts w:ascii="微软雅黑" w:hAnsi="微软雅黑" w:eastAsia="微软雅黑"/>
          <w:bCs/>
          <w:kern w:val="0"/>
          <w:sz w:val="22"/>
        </w:rPr>
      </w:pPr>
    </w:p>
    <w:p>
      <w:pPr>
        <w:widowControl/>
        <w:spacing w:line="600" w:lineRule="exact"/>
        <w:rPr>
          <w:rFonts w:ascii="微软雅黑" w:hAnsi="微软雅黑" w:eastAsia="微软雅黑"/>
          <w:bCs/>
          <w:kern w:val="0"/>
          <w:sz w:val="22"/>
        </w:rPr>
      </w:pPr>
    </w:p>
    <w:p>
      <w:pPr>
        <w:widowControl/>
        <w:spacing w:line="600" w:lineRule="exact"/>
        <w:rPr>
          <w:rFonts w:ascii="微软雅黑" w:hAnsi="微软雅黑" w:eastAsia="微软雅黑"/>
          <w:bCs/>
          <w:kern w:val="0"/>
          <w:sz w:val="22"/>
        </w:rPr>
      </w:pPr>
    </w:p>
    <w:p>
      <w:pPr>
        <w:widowControl/>
        <w:spacing w:line="600" w:lineRule="exact"/>
        <w:jc w:val="center"/>
        <w:rPr>
          <w:rFonts w:hint="eastAsia" w:ascii="微软雅黑" w:hAnsi="微软雅黑" w:eastAsia="微软雅黑"/>
          <w:bCs/>
          <w:kern w:val="0"/>
          <w:sz w:val="22"/>
        </w:rPr>
      </w:pPr>
    </w:p>
    <w:p>
      <w:pPr>
        <w:widowControl/>
        <w:spacing w:line="600" w:lineRule="exact"/>
        <w:jc w:val="center"/>
        <w:rPr>
          <w:rFonts w:ascii="微软雅黑" w:hAnsi="微软雅黑" w:eastAsia="微软雅黑"/>
          <w:bCs/>
          <w:kern w:val="0"/>
          <w:sz w:val="22"/>
        </w:rPr>
      </w:pPr>
      <w:r>
        <w:rPr>
          <w:rFonts w:hint="eastAsia" w:ascii="微软雅黑" w:hAnsi="微软雅黑" w:eastAsia="微软雅黑"/>
          <w:bCs/>
          <w:kern w:val="0"/>
          <w:sz w:val="22"/>
        </w:rPr>
        <w:t>第一部分永州市回龙圩管理区经济作物管理办公室部门概况</w:t>
      </w:r>
    </w:p>
    <w:p>
      <w:pPr>
        <w:pStyle w:val="20"/>
        <w:ind w:firstLine="0" w:firstLineChars="0"/>
        <w:jc w:val="left"/>
        <w:rPr>
          <w:rFonts w:ascii="微软雅黑" w:hAnsi="微软雅黑" w:eastAsia="微软雅黑"/>
          <w:sz w:val="22"/>
        </w:rPr>
      </w:pPr>
    </w:p>
    <w:p>
      <w:pPr>
        <w:widowControl/>
        <w:spacing w:line="600" w:lineRule="exact"/>
        <w:ind w:firstLine="440" w:firstLineChars="200"/>
        <w:rPr>
          <w:rFonts w:ascii="微软雅黑" w:hAnsi="微软雅黑" w:eastAsia="微软雅黑"/>
          <w:bCs/>
          <w:kern w:val="0"/>
          <w:sz w:val="22"/>
        </w:rPr>
      </w:pPr>
      <w:r>
        <w:rPr>
          <w:rFonts w:hint="eastAsia" w:ascii="微软雅黑" w:hAnsi="微软雅黑" w:eastAsia="微软雅黑"/>
          <w:bCs/>
          <w:kern w:val="0"/>
          <w:sz w:val="22"/>
        </w:rPr>
        <w:t>一、部门职责</w:t>
      </w:r>
    </w:p>
    <w:p>
      <w:pPr>
        <w:widowControl/>
        <w:spacing w:line="600" w:lineRule="exact"/>
        <w:ind w:firstLine="440" w:firstLineChars="200"/>
        <w:rPr>
          <w:rFonts w:ascii="微软雅黑" w:hAnsi="微软雅黑" w:eastAsia="微软雅黑" w:cs="Times New Roman"/>
          <w:bCs/>
          <w:kern w:val="0"/>
          <w:sz w:val="22"/>
        </w:rPr>
      </w:pPr>
      <w:r>
        <w:rPr>
          <w:rFonts w:hint="eastAsia" w:ascii="微软雅黑" w:hAnsi="微软雅黑" w:eastAsia="微软雅黑"/>
          <w:b/>
          <w:bCs/>
          <w:kern w:val="0"/>
          <w:sz w:val="22"/>
        </w:rPr>
        <w:t>（一）</w:t>
      </w:r>
      <w:r>
        <w:rPr>
          <w:rFonts w:hint="eastAsia" w:ascii="微软雅黑" w:hAnsi="微软雅黑" w:eastAsia="微软雅黑" w:cs="Times New Roman"/>
          <w:bCs/>
          <w:kern w:val="0"/>
          <w:sz w:val="22"/>
        </w:rPr>
        <w:t xml:space="preserve">做好产业发展中长期规划；负责拟定实施方案并组织实施；研究制订管理区柑橘果树等作物结构优化调整规划、标准化规程、示范及基地建设规划。 </w:t>
      </w:r>
    </w:p>
    <w:p>
      <w:pPr>
        <w:widowControl/>
        <w:spacing w:line="600" w:lineRule="exact"/>
        <w:ind w:left="80" w:firstLine="440" w:firstLineChars="200"/>
        <w:rPr>
          <w:rFonts w:ascii="微软雅黑" w:hAnsi="微软雅黑" w:eastAsia="微软雅黑" w:cs="Times New Roman"/>
          <w:bCs/>
          <w:kern w:val="0"/>
          <w:sz w:val="22"/>
        </w:rPr>
      </w:pPr>
      <w:r>
        <w:rPr>
          <w:rFonts w:hint="eastAsia" w:ascii="微软雅黑" w:hAnsi="微软雅黑" w:eastAsia="微软雅黑"/>
          <w:b/>
          <w:bCs/>
          <w:kern w:val="0"/>
          <w:sz w:val="22"/>
        </w:rPr>
        <w:t>（二）</w:t>
      </w:r>
      <w:r>
        <w:rPr>
          <w:rFonts w:hint="eastAsia" w:ascii="微软雅黑" w:hAnsi="微软雅黑" w:eastAsia="微软雅黑" w:cs="Times New Roman"/>
          <w:bCs/>
          <w:kern w:val="0"/>
          <w:sz w:val="22"/>
        </w:rPr>
        <w:t xml:space="preserve">负责本站相关项目的编制、申报和组织实施；组织实施管理区柑橘果树等作物新品种引试筛选和新技术的研究及引进、试验、示范、推广。 </w:t>
      </w:r>
    </w:p>
    <w:p>
      <w:pPr>
        <w:widowControl/>
        <w:spacing w:line="600" w:lineRule="exact"/>
        <w:ind w:left="80" w:firstLine="440" w:firstLineChars="200"/>
        <w:rPr>
          <w:rFonts w:ascii="微软雅黑" w:hAnsi="微软雅黑" w:eastAsia="微软雅黑" w:cs="Times New Roman"/>
          <w:bCs/>
          <w:kern w:val="0"/>
          <w:sz w:val="22"/>
        </w:rPr>
      </w:pPr>
      <w:r>
        <w:rPr>
          <w:rFonts w:hint="eastAsia" w:ascii="微软雅黑" w:hAnsi="微软雅黑" w:eastAsia="微软雅黑"/>
          <w:b/>
          <w:bCs/>
          <w:kern w:val="0"/>
          <w:sz w:val="22"/>
        </w:rPr>
        <w:t>（三）</w:t>
      </w:r>
      <w:r>
        <w:rPr>
          <w:rFonts w:hint="eastAsia" w:ascii="微软雅黑" w:hAnsi="微软雅黑" w:eastAsia="微软雅黑" w:cs="Times New Roman"/>
          <w:bCs/>
          <w:kern w:val="0"/>
          <w:sz w:val="22"/>
        </w:rPr>
        <w:t xml:space="preserve">负责上下单位对口衔接，组织实施上级单位安排的计划，检查指导下级单位的完成情况；负责完成中央、省、市、县（区）相关协作攻关课题；负责高产创建、农民技术培训和科技咨询工作。 </w:t>
      </w:r>
    </w:p>
    <w:p>
      <w:pPr>
        <w:widowControl/>
        <w:spacing w:line="600" w:lineRule="exact"/>
        <w:ind w:left="80" w:firstLine="440" w:firstLineChars="200"/>
        <w:rPr>
          <w:rFonts w:ascii="微软雅黑" w:hAnsi="微软雅黑" w:eastAsia="微软雅黑" w:cs="Times New Roman"/>
          <w:bCs/>
          <w:kern w:val="0"/>
          <w:sz w:val="22"/>
        </w:rPr>
      </w:pPr>
      <w:r>
        <w:rPr>
          <w:rFonts w:hint="eastAsia" w:ascii="微软雅黑" w:hAnsi="微软雅黑" w:eastAsia="微软雅黑"/>
          <w:b/>
          <w:bCs/>
          <w:kern w:val="0"/>
          <w:sz w:val="22"/>
        </w:rPr>
        <w:t>（四）</w:t>
      </w:r>
      <w:r>
        <w:rPr>
          <w:rFonts w:hint="eastAsia" w:ascii="微软雅黑" w:hAnsi="微软雅黑" w:eastAsia="微软雅黑" w:cs="Times New Roman"/>
          <w:bCs/>
          <w:kern w:val="0"/>
          <w:sz w:val="22"/>
        </w:rPr>
        <w:t>指导管理区农业技术推广机构、技术协会的相关业务工作。</w:t>
      </w:r>
    </w:p>
    <w:p>
      <w:pPr>
        <w:widowControl/>
        <w:spacing w:line="600" w:lineRule="exact"/>
        <w:ind w:left="80" w:firstLine="440" w:firstLineChars="200"/>
        <w:rPr>
          <w:rFonts w:ascii="微软雅黑" w:hAnsi="微软雅黑" w:eastAsia="微软雅黑" w:cs="Times New Roman"/>
          <w:bCs/>
          <w:kern w:val="0"/>
          <w:sz w:val="22"/>
        </w:rPr>
      </w:pPr>
      <w:r>
        <w:rPr>
          <w:rFonts w:hint="eastAsia" w:ascii="微软雅黑" w:hAnsi="微软雅黑" w:eastAsia="微软雅黑"/>
          <w:b/>
          <w:bCs/>
          <w:kern w:val="0"/>
          <w:sz w:val="22"/>
        </w:rPr>
        <w:t>（五）</w:t>
      </w:r>
      <w:r>
        <w:rPr>
          <w:rFonts w:hint="eastAsia" w:ascii="微软雅黑" w:hAnsi="微软雅黑" w:eastAsia="微软雅黑" w:cs="Times New Roman"/>
          <w:bCs/>
          <w:kern w:val="0"/>
          <w:sz w:val="22"/>
        </w:rPr>
        <w:t>承办管理区管委会交办的其他事项。</w:t>
      </w:r>
    </w:p>
    <w:p>
      <w:pPr>
        <w:widowControl/>
        <w:spacing w:line="600" w:lineRule="exact"/>
        <w:ind w:firstLine="440" w:firstLineChars="200"/>
        <w:rPr>
          <w:rFonts w:ascii="微软雅黑" w:hAnsi="微软雅黑" w:eastAsia="微软雅黑"/>
          <w:bCs/>
          <w:kern w:val="0"/>
          <w:sz w:val="22"/>
        </w:rPr>
      </w:pPr>
      <w:r>
        <w:rPr>
          <w:rFonts w:hint="eastAsia" w:ascii="微软雅黑" w:hAnsi="微软雅黑" w:eastAsia="微软雅黑"/>
          <w:bCs/>
          <w:kern w:val="0"/>
          <w:sz w:val="22"/>
        </w:rPr>
        <w:t>二、机构设置及决算单位构成</w:t>
      </w:r>
    </w:p>
    <w:p>
      <w:pPr>
        <w:widowControl/>
        <w:spacing w:line="600" w:lineRule="exact"/>
        <w:ind w:firstLine="440" w:firstLineChars="200"/>
        <w:rPr>
          <w:rFonts w:ascii="微软雅黑" w:hAnsi="微软雅黑" w:eastAsia="微软雅黑" w:cs="Times New Roman"/>
          <w:bCs/>
          <w:kern w:val="0"/>
          <w:sz w:val="22"/>
        </w:rPr>
      </w:pPr>
      <w:r>
        <w:rPr>
          <w:rFonts w:hint="eastAsia" w:ascii="微软雅黑" w:hAnsi="微软雅黑" w:eastAsia="微软雅黑"/>
          <w:b/>
          <w:bCs/>
          <w:kern w:val="0"/>
          <w:sz w:val="22"/>
        </w:rPr>
        <w:t>（一）内设机构设置。</w:t>
      </w:r>
      <w:r>
        <w:rPr>
          <w:rFonts w:hint="eastAsia" w:ascii="微软雅黑" w:hAnsi="微软雅黑" w:eastAsia="微软雅黑" w:cs="Times New Roman"/>
          <w:bCs/>
          <w:kern w:val="0"/>
          <w:sz w:val="22"/>
        </w:rPr>
        <w:t>永州市回龙圩管理区经济作物管理办公室现有工作人员共8名，配备主任1名。</w:t>
      </w:r>
    </w:p>
    <w:p>
      <w:pPr>
        <w:widowControl/>
        <w:spacing w:line="600" w:lineRule="exact"/>
        <w:ind w:firstLine="440" w:firstLineChars="200"/>
        <w:rPr>
          <w:rFonts w:ascii="微软雅黑" w:hAnsi="微软雅黑" w:eastAsia="微软雅黑" w:cs="Times New Roman"/>
          <w:bCs/>
          <w:kern w:val="0"/>
          <w:sz w:val="22"/>
        </w:rPr>
      </w:pPr>
      <w:r>
        <w:rPr>
          <w:rFonts w:hint="eastAsia" w:ascii="微软雅黑" w:hAnsi="微软雅黑" w:eastAsia="微软雅黑"/>
          <w:b/>
          <w:bCs/>
          <w:kern w:val="0"/>
          <w:sz w:val="22"/>
        </w:rPr>
        <w:t>（二）决算单位构成。</w:t>
      </w:r>
      <w:r>
        <w:rPr>
          <w:rFonts w:hint="eastAsia" w:ascii="微软雅黑" w:hAnsi="微软雅黑" w:eastAsia="微软雅黑" w:cs="Times New Roman"/>
          <w:bCs/>
          <w:kern w:val="0"/>
          <w:sz w:val="22"/>
        </w:rPr>
        <w:t>回龙圩管理区经济作物办公室2021年部门决算汇总公开单位构成包括：回龙圩管理区经济作物办公室本级。</w:t>
      </w:r>
    </w:p>
    <w:p>
      <w:pPr>
        <w:widowControl/>
        <w:spacing w:line="600" w:lineRule="exact"/>
        <w:jc w:val="center"/>
        <w:rPr>
          <w:rFonts w:ascii="微软雅黑" w:hAnsi="微软雅黑" w:eastAsia="微软雅黑"/>
          <w:bCs/>
          <w:kern w:val="0"/>
          <w:sz w:val="22"/>
        </w:rPr>
      </w:pPr>
    </w:p>
    <w:p>
      <w:pPr>
        <w:widowControl/>
        <w:spacing w:line="600" w:lineRule="exact"/>
        <w:jc w:val="center"/>
        <w:rPr>
          <w:rFonts w:ascii="微软雅黑" w:hAnsi="微软雅黑" w:eastAsia="微软雅黑"/>
          <w:bCs/>
          <w:kern w:val="0"/>
          <w:sz w:val="22"/>
        </w:rPr>
      </w:pPr>
      <w:r>
        <w:rPr>
          <w:rFonts w:hint="eastAsia" w:ascii="微软雅黑" w:hAnsi="微软雅黑" w:eastAsia="微软雅黑"/>
          <w:bCs/>
          <w:kern w:val="0"/>
          <w:sz w:val="22"/>
        </w:rPr>
        <w:t>第二部分 2021</w:t>
      </w:r>
      <w:r>
        <w:rPr>
          <w:rFonts w:ascii="微软雅黑" w:hAnsi="微软雅黑" w:eastAsia="微软雅黑"/>
          <w:bCs/>
          <w:kern w:val="0"/>
          <w:sz w:val="22"/>
        </w:rPr>
        <w:t>年</w:t>
      </w:r>
      <w:r>
        <w:rPr>
          <w:rFonts w:hint="eastAsia" w:ascii="微软雅黑" w:hAnsi="微软雅黑" w:eastAsia="微软雅黑"/>
          <w:bCs/>
          <w:kern w:val="0"/>
          <w:sz w:val="22"/>
        </w:rPr>
        <w:t>部门决算表</w:t>
      </w:r>
    </w:p>
    <w:p>
      <w:pPr>
        <w:spacing w:line="600" w:lineRule="exact"/>
        <w:ind w:firstLine="440" w:firstLineChars="200"/>
        <w:rPr>
          <w:rFonts w:ascii="微软雅黑" w:hAnsi="微软雅黑" w:eastAsia="微软雅黑"/>
          <w:sz w:val="22"/>
        </w:rPr>
      </w:pPr>
      <w:r>
        <w:rPr>
          <w:rFonts w:hint="eastAsia" w:ascii="微软雅黑" w:hAnsi="微软雅黑" w:eastAsia="微软雅黑"/>
          <w:sz w:val="22"/>
        </w:rPr>
        <w:t>见最后附件:部门决算公开表。</w:t>
      </w:r>
    </w:p>
    <w:p>
      <w:pPr>
        <w:jc w:val="left"/>
        <w:rPr>
          <w:rFonts w:ascii="微软雅黑" w:hAnsi="微软雅黑" w:eastAsia="微软雅黑"/>
          <w:sz w:val="22"/>
        </w:rPr>
      </w:pPr>
    </w:p>
    <w:p>
      <w:pPr>
        <w:jc w:val="center"/>
        <w:rPr>
          <w:rFonts w:ascii="微软雅黑" w:hAnsi="微软雅黑" w:eastAsia="微软雅黑"/>
          <w:sz w:val="22"/>
        </w:rPr>
      </w:pPr>
    </w:p>
    <w:p>
      <w:pPr>
        <w:jc w:val="center"/>
        <w:rPr>
          <w:rFonts w:ascii="微软雅黑" w:hAnsi="微软雅黑" w:eastAsia="微软雅黑"/>
          <w:sz w:val="22"/>
        </w:rPr>
      </w:pPr>
    </w:p>
    <w:p>
      <w:pPr>
        <w:widowControl/>
        <w:jc w:val="left"/>
        <w:rPr>
          <w:rFonts w:ascii="微软雅黑" w:hAnsi="微软雅黑" w:eastAsia="微软雅黑"/>
          <w:kern w:val="0"/>
          <w:sz w:val="22"/>
        </w:rPr>
        <w:sectPr>
          <w:pgSz w:w="11906" w:h="16838"/>
          <w:pgMar w:top="1440" w:right="1558" w:bottom="1440" w:left="1800" w:header="851" w:footer="992" w:gutter="0"/>
          <w:cols w:space="720" w:num="1"/>
          <w:docGrid w:type="lines" w:linePitch="312" w:charSpace="0"/>
        </w:sectPr>
      </w:pPr>
    </w:p>
    <w:p>
      <w:pPr>
        <w:widowControl/>
        <w:spacing w:line="600" w:lineRule="exact"/>
        <w:jc w:val="center"/>
        <w:rPr>
          <w:rFonts w:ascii="微软雅黑" w:hAnsi="微软雅黑" w:eastAsia="微软雅黑"/>
          <w:bCs/>
          <w:kern w:val="0"/>
          <w:sz w:val="22"/>
        </w:rPr>
      </w:pPr>
      <w:bookmarkStart w:id="0" w:name="RANGE!A1:F16"/>
      <w:bookmarkEnd w:id="0"/>
      <w:bookmarkStart w:id="1" w:name="RANGE!A1:I39"/>
      <w:bookmarkEnd w:id="1"/>
      <w:r>
        <w:rPr>
          <w:rFonts w:hint="eastAsia" w:ascii="微软雅黑" w:hAnsi="微软雅黑" w:eastAsia="微软雅黑"/>
          <w:bCs/>
          <w:kern w:val="0"/>
          <w:sz w:val="22"/>
        </w:rPr>
        <w:t>第三部分 2021年度部门决算情况说明</w:t>
      </w:r>
    </w:p>
    <w:p>
      <w:pPr>
        <w:widowControl/>
        <w:jc w:val="left"/>
        <w:rPr>
          <w:rFonts w:ascii="微软雅黑" w:hAnsi="微软雅黑" w:eastAsia="微软雅黑" w:cs="黑体"/>
          <w:color w:val="000000"/>
          <w:kern w:val="0"/>
          <w:sz w:val="22"/>
        </w:rPr>
      </w:pPr>
    </w:p>
    <w:p>
      <w:pPr>
        <w:pStyle w:val="28"/>
        <w:spacing w:line="600" w:lineRule="exact"/>
        <w:ind w:firstLine="440" w:firstLineChars="200"/>
        <w:rPr>
          <w:rFonts w:ascii="微软雅黑" w:hAnsi="微软雅黑" w:eastAsia="微软雅黑" w:cs="Times New Roman"/>
          <w:color w:val="auto"/>
          <w:sz w:val="22"/>
          <w:szCs w:val="22"/>
        </w:rPr>
      </w:pPr>
      <w:r>
        <w:rPr>
          <w:rFonts w:ascii="微软雅黑" w:hAnsi="微软雅黑" w:eastAsia="微软雅黑" w:cs="Times New Roman"/>
          <w:color w:val="auto"/>
          <w:sz w:val="22"/>
          <w:szCs w:val="22"/>
        </w:rPr>
        <w:t>一、收入支出决算总体情况说明</w:t>
      </w:r>
    </w:p>
    <w:p>
      <w:pPr>
        <w:pStyle w:val="28"/>
        <w:spacing w:line="600" w:lineRule="exact"/>
        <w:ind w:firstLine="440" w:firstLineChars="200"/>
        <w:rPr>
          <w:rFonts w:ascii="微软雅黑" w:hAnsi="微软雅黑" w:eastAsia="微软雅黑" w:cs="Times New Roman"/>
          <w:color w:val="auto"/>
          <w:sz w:val="22"/>
          <w:szCs w:val="22"/>
        </w:rPr>
      </w:pPr>
      <w:r>
        <w:rPr>
          <w:rFonts w:hint="eastAsia" w:ascii="微软雅黑" w:hAnsi="微软雅黑" w:eastAsia="微软雅黑" w:cs="Times New Roman"/>
          <w:bCs/>
          <w:color w:val="000000" w:themeColor="text1"/>
          <w:sz w:val="22"/>
          <w:szCs w:val="22"/>
          <w14:textFill>
            <w14:solidFill>
              <w14:schemeClr w14:val="tx1"/>
            </w14:solidFill>
          </w14:textFill>
        </w:rPr>
        <w:t>2021年度</w:t>
      </w:r>
      <w:r>
        <w:rPr>
          <w:rFonts w:hint="eastAsia" w:ascii="微软雅黑" w:hAnsi="微软雅黑" w:eastAsia="微软雅黑" w:cs="Times New Roman"/>
          <w:color w:val="000000" w:themeColor="text1"/>
          <w:sz w:val="22"/>
          <w:szCs w:val="22"/>
          <w14:textFill>
            <w14:solidFill>
              <w14:schemeClr w14:val="tx1"/>
            </w14:solidFill>
          </w14:textFill>
        </w:rPr>
        <w:t>年初结余22.1万元，</w:t>
      </w:r>
      <w:r>
        <w:rPr>
          <w:rFonts w:ascii="微软雅黑" w:hAnsi="微软雅黑" w:eastAsia="微软雅黑" w:cs="Times New Roman"/>
          <w:color w:val="000000" w:themeColor="text1"/>
          <w:sz w:val="22"/>
          <w:szCs w:val="22"/>
          <w14:textFill>
            <w14:solidFill>
              <w14:schemeClr w14:val="tx1"/>
            </w14:solidFill>
          </w14:textFill>
        </w:rPr>
        <w:t>收</w:t>
      </w:r>
      <w:r>
        <w:rPr>
          <w:rFonts w:hint="eastAsia" w:ascii="微软雅黑" w:hAnsi="微软雅黑" w:eastAsia="微软雅黑" w:cs="Times New Roman"/>
          <w:color w:val="000000" w:themeColor="text1"/>
          <w:sz w:val="22"/>
          <w:szCs w:val="22"/>
          <w14:textFill>
            <w14:solidFill>
              <w14:schemeClr w14:val="tx1"/>
            </w14:solidFill>
          </w14:textFill>
        </w:rPr>
        <w:t>入49万元，支出71.1万元。年末结余0万元；</w:t>
      </w:r>
      <w:r>
        <w:rPr>
          <w:rFonts w:ascii="微软雅黑" w:hAnsi="微软雅黑" w:eastAsia="微软雅黑" w:cs="Times New Roman"/>
          <w:color w:val="auto"/>
          <w:sz w:val="22"/>
          <w:szCs w:val="22"/>
        </w:rPr>
        <w:t>与20</w:t>
      </w:r>
      <w:r>
        <w:rPr>
          <w:rFonts w:hint="eastAsia" w:ascii="微软雅黑" w:hAnsi="微软雅黑" w:eastAsia="微软雅黑" w:cs="Times New Roman"/>
          <w:color w:val="auto"/>
          <w:sz w:val="22"/>
          <w:szCs w:val="22"/>
        </w:rPr>
        <w:t>20</w:t>
      </w:r>
      <w:r>
        <w:rPr>
          <w:rFonts w:ascii="微软雅黑" w:hAnsi="微软雅黑" w:eastAsia="微软雅黑" w:cs="Times New Roman"/>
          <w:color w:val="auto"/>
          <w:sz w:val="22"/>
          <w:szCs w:val="22"/>
        </w:rPr>
        <w:t>年相比</w:t>
      </w:r>
      <w:r>
        <w:rPr>
          <w:rFonts w:hint="eastAsia" w:ascii="微软雅黑" w:hAnsi="微软雅黑" w:eastAsia="微软雅黑" w:cs="Times New Roman"/>
          <w:color w:val="auto"/>
          <w:sz w:val="22"/>
          <w:szCs w:val="22"/>
        </w:rPr>
        <w:t>增加33.53</w:t>
      </w:r>
      <w:r>
        <w:rPr>
          <w:rFonts w:ascii="微软雅黑" w:hAnsi="微软雅黑" w:eastAsia="微软雅黑" w:cs="Times New Roman"/>
          <w:color w:val="auto"/>
          <w:sz w:val="22"/>
          <w:szCs w:val="22"/>
        </w:rPr>
        <w:t>万元，</w:t>
      </w:r>
      <w:r>
        <w:rPr>
          <w:rFonts w:hint="eastAsia" w:ascii="微软雅黑" w:hAnsi="微软雅黑" w:eastAsia="微软雅黑" w:cs="Times New Roman"/>
          <w:color w:val="auto"/>
          <w:sz w:val="22"/>
          <w:szCs w:val="22"/>
        </w:rPr>
        <w:t>增加89.2</w:t>
      </w:r>
      <w:r>
        <w:rPr>
          <w:rFonts w:ascii="微软雅黑" w:hAnsi="微软雅黑" w:eastAsia="微软雅黑" w:cs="Times New Roman"/>
          <w:color w:val="auto"/>
          <w:sz w:val="22"/>
          <w:szCs w:val="22"/>
        </w:rPr>
        <w:t>%，主要是因为</w:t>
      </w:r>
      <w:r>
        <w:rPr>
          <w:rFonts w:hint="eastAsia" w:ascii="微软雅黑" w:hAnsi="微软雅黑" w:eastAsia="微软雅黑" w:cs="Times New Roman"/>
          <w:color w:val="auto"/>
          <w:sz w:val="22"/>
          <w:szCs w:val="22"/>
        </w:rPr>
        <w:t>增加年初结</w:t>
      </w:r>
      <w:r>
        <w:rPr>
          <w:rFonts w:hint="eastAsia" w:ascii="微软雅黑" w:hAnsi="微软雅黑" w:eastAsia="微软雅黑" w:cs="Times New Roman"/>
          <w:color w:val="000000" w:themeColor="text1"/>
          <w:sz w:val="22"/>
          <w:szCs w:val="22"/>
          <w14:textFill>
            <w14:solidFill>
              <w14:schemeClr w14:val="tx1"/>
            </w14:solidFill>
          </w14:textFill>
        </w:rPr>
        <w:t>余</w:t>
      </w:r>
      <w:r>
        <w:rPr>
          <w:rFonts w:hint="eastAsia" w:ascii="微软雅黑" w:hAnsi="微软雅黑" w:eastAsia="微软雅黑" w:cs="Times New Roman"/>
          <w:color w:val="auto"/>
          <w:sz w:val="22"/>
          <w:szCs w:val="22"/>
        </w:rPr>
        <w:t>资金项目支出。</w:t>
      </w:r>
    </w:p>
    <w:p>
      <w:pPr>
        <w:pStyle w:val="28"/>
        <w:spacing w:line="600" w:lineRule="exact"/>
        <w:ind w:firstLine="440" w:firstLineChars="200"/>
        <w:rPr>
          <w:rFonts w:ascii="微软雅黑" w:hAnsi="微软雅黑" w:eastAsia="微软雅黑" w:cs="Times New Roman"/>
          <w:color w:val="auto"/>
          <w:sz w:val="22"/>
          <w:szCs w:val="22"/>
        </w:rPr>
      </w:pPr>
      <w:r>
        <w:rPr>
          <w:rFonts w:ascii="微软雅黑" w:hAnsi="微软雅黑" w:eastAsia="微软雅黑" w:cs="Times New Roman"/>
          <w:color w:val="auto"/>
          <w:sz w:val="22"/>
          <w:szCs w:val="22"/>
        </w:rPr>
        <w:t>二、收入决算情况说明</w:t>
      </w:r>
    </w:p>
    <w:p>
      <w:pPr>
        <w:pStyle w:val="28"/>
        <w:spacing w:line="600" w:lineRule="exact"/>
        <w:ind w:firstLine="440" w:firstLineChars="200"/>
        <w:rPr>
          <w:rFonts w:ascii="微软雅黑" w:hAnsi="微软雅黑" w:eastAsia="微软雅黑" w:cs="Times New Roman"/>
          <w:color w:val="auto"/>
          <w:sz w:val="22"/>
          <w:szCs w:val="22"/>
        </w:rPr>
      </w:pPr>
      <w:r>
        <w:rPr>
          <w:rFonts w:ascii="微软雅黑" w:hAnsi="微软雅黑" w:eastAsia="微软雅黑" w:cs="Times New Roman"/>
          <w:color w:val="auto"/>
          <w:sz w:val="22"/>
          <w:szCs w:val="22"/>
        </w:rPr>
        <w:t>本年收入合计</w:t>
      </w:r>
      <w:r>
        <w:rPr>
          <w:rFonts w:hint="eastAsia" w:ascii="微软雅黑" w:hAnsi="微软雅黑" w:eastAsia="微软雅黑" w:cs="Times New Roman"/>
          <w:color w:val="auto"/>
          <w:sz w:val="22"/>
          <w:szCs w:val="22"/>
        </w:rPr>
        <w:t>49</w:t>
      </w:r>
      <w:r>
        <w:rPr>
          <w:rFonts w:ascii="微软雅黑" w:hAnsi="微软雅黑" w:eastAsia="微软雅黑" w:cs="Times New Roman"/>
          <w:color w:val="auto"/>
          <w:sz w:val="22"/>
          <w:szCs w:val="22"/>
        </w:rPr>
        <w:t>万元，其中：财政拨款收入</w:t>
      </w:r>
      <w:r>
        <w:rPr>
          <w:rFonts w:hint="eastAsia" w:ascii="微软雅黑" w:hAnsi="微软雅黑" w:eastAsia="微软雅黑" w:cs="Times New Roman"/>
          <w:color w:val="auto"/>
          <w:sz w:val="22"/>
          <w:szCs w:val="22"/>
        </w:rPr>
        <w:t>49</w:t>
      </w:r>
      <w:r>
        <w:rPr>
          <w:rFonts w:ascii="微软雅黑" w:hAnsi="微软雅黑" w:eastAsia="微软雅黑" w:cs="Times New Roman"/>
          <w:color w:val="auto"/>
          <w:sz w:val="22"/>
          <w:szCs w:val="22"/>
        </w:rPr>
        <w:t>万元，占</w:t>
      </w:r>
      <w:r>
        <w:rPr>
          <w:rFonts w:hint="eastAsia" w:ascii="微软雅黑" w:hAnsi="微软雅黑" w:eastAsia="微软雅黑" w:cs="Times New Roman"/>
          <w:color w:val="auto"/>
          <w:sz w:val="22"/>
          <w:szCs w:val="22"/>
        </w:rPr>
        <w:t>100</w:t>
      </w:r>
      <w:r>
        <w:rPr>
          <w:rFonts w:ascii="微软雅黑" w:hAnsi="微软雅黑" w:eastAsia="微软雅黑" w:cs="Times New Roman"/>
          <w:color w:val="auto"/>
          <w:sz w:val="22"/>
          <w:szCs w:val="22"/>
        </w:rPr>
        <w:t>%；上级补助收入</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万元，占</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%；事业收入</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万元，占</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%；经营收入</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万元，占</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%；附属单位上缴收入</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万元，占</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%；其他收入</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万元，占</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w:t>
      </w:r>
    </w:p>
    <w:p>
      <w:pPr>
        <w:pStyle w:val="28"/>
        <w:spacing w:line="600" w:lineRule="exact"/>
        <w:ind w:firstLine="440" w:firstLineChars="200"/>
        <w:rPr>
          <w:rFonts w:ascii="微软雅黑" w:hAnsi="微软雅黑" w:eastAsia="微软雅黑" w:cs="Times New Roman"/>
          <w:color w:val="auto"/>
          <w:sz w:val="22"/>
          <w:szCs w:val="22"/>
        </w:rPr>
      </w:pPr>
      <w:r>
        <w:rPr>
          <w:rFonts w:ascii="微软雅黑" w:hAnsi="微软雅黑" w:eastAsia="微软雅黑" w:cs="Times New Roman"/>
          <w:color w:val="auto"/>
          <w:sz w:val="22"/>
          <w:szCs w:val="22"/>
        </w:rPr>
        <w:t>三、支出决算情况说明</w:t>
      </w:r>
    </w:p>
    <w:p>
      <w:pPr>
        <w:pStyle w:val="28"/>
        <w:spacing w:line="600" w:lineRule="exact"/>
        <w:ind w:firstLine="440" w:firstLineChars="200"/>
        <w:rPr>
          <w:rFonts w:ascii="微软雅黑" w:hAnsi="微软雅黑" w:eastAsia="微软雅黑" w:cs="Times New Roman"/>
          <w:color w:val="auto"/>
          <w:sz w:val="22"/>
          <w:szCs w:val="22"/>
        </w:rPr>
      </w:pPr>
      <w:r>
        <w:rPr>
          <w:rFonts w:ascii="微软雅黑" w:hAnsi="微软雅黑" w:eastAsia="微软雅黑" w:cs="Times New Roman"/>
          <w:color w:val="auto"/>
          <w:sz w:val="22"/>
          <w:szCs w:val="22"/>
        </w:rPr>
        <w:t>本年支出合计</w:t>
      </w:r>
      <w:r>
        <w:rPr>
          <w:rFonts w:hint="eastAsia" w:ascii="微软雅黑" w:hAnsi="微软雅黑" w:eastAsia="微软雅黑" w:cs="Times New Roman"/>
          <w:color w:val="auto"/>
          <w:sz w:val="22"/>
          <w:szCs w:val="22"/>
        </w:rPr>
        <w:t>71.1</w:t>
      </w:r>
      <w:r>
        <w:rPr>
          <w:rFonts w:ascii="微软雅黑" w:hAnsi="微软雅黑" w:eastAsia="微软雅黑" w:cs="Times New Roman"/>
          <w:color w:val="auto"/>
          <w:sz w:val="22"/>
          <w:szCs w:val="22"/>
        </w:rPr>
        <w:t>万元，其中：基本支出</w:t>
      </w:r>
      <w:r>
        <w:rPr>
          <w:rFonts w:hint="eastAsia" w:ascii="微软雅黑" w:hAnsi="微软雅黑" w:eastAsia="微软雅黑" w:cs="Times New Roman"/>
          <w:color w:val="auto"/>
          <w:sz w:val="22"/>
          <w:szCs w:val="22"/>
        </w:rPr>
        <w:t>71.1</w:t>
      </w:r>
      <w:r>
        <w:rPr>
          <w:rFonts w:ascii="微软雅黑" w:hAnsi="微软雅黑" w:eastAsia="微软雅黑" w:cs="Times New Roman"/>
          <w:color w:val="auto"/>
          <w:sz w:val="22"/>
          <w:szCs w:val="22"/>
        </w:rPr>
        <w:t>万元，占</w:t>
      </w:r>
      <w:r>
        <w:rPr>
          <w:rFonts w:hint="eastAsia" w:ascii="微软雅黑" w:hAnsi="微软雅黑" w:eastAsia="微软雅黑" w:cs="Times New Roman"/>
          <w:color w:val="auto"/>
          <w:sz w:val="22"/>
          <w:szCs w:val="22"/>
        </w:rPr>
        <w:t>100</w:t>
      </w:r>
      <w:r>
        <w:rPr>
          <w:rFonts w:ascii="微软雅黑" w:hAnsi="微软雅黑" w:eastAsia="微软雅黑" w:cs="Times New Roman"/>
          <w:color w:val="auto"/>
          <w:sz w:val="22"/>
          <w:szCs w:val="22"/>
        </w:rPr>
        <w:t>%；项目支出</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万元，占</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%；上缴上级支出</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万元，占</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%；经营支出</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万元，占</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%；对附属单位补助支出</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万元，占</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w:t>
      </w:r>
    </w:p>
    <w:p>
      <w:pPr>
        <w:pStyle w:val="28"/>
        <w:spacing w:line="600" w:lineRule="exact"/>
        <w:ind w:firstLine="440" w:firstLineChars="200"/>
        <w:rPr>
          <w:rFonts w:ascii="微软雅黑" w:hAnsi="微软雅黑" w:eastAsia="微软雅黑" w:cs="Times New Roman"/>
          <w:color w:val="auto"/>
          <w:sz w:val="22"/>
          <w:szCs w:val="22"/>
        </w:rPr>
      </w:pPr>
      <w:r>
        <w:rPr>
          <w:rFonts w:ascii="微软雅黑" w:hAnsi="微软雅黑" w:eastAsia="微软雅黑" w:cs="Times New Roman"/>
          <w:color w:val="auto"/>
          <w:sz w:val="22"/>
          <w:szCs w:val="22"/>
        </w:rPr>
        <w:t>四、财政拨款收入支出决算总体情况说明</w:t>
      </w:r>
    </w:p>
    <w:p>
      <w:pPr>
        <w:pStyle w:val="28"/>
        <w:spacing w:line="600" w:lineRule="exact"/>
        <w:ind w:firstLine="440" w:firstLineChars="200"/>
        <w:rPr>
          <w:rFonts w:ascii="微软雅黑" w:hAnsi="微软雅黑" w:eastAsia="微软雅黑" w:cs="Times New Roman"/>
          <w:color w:val="auto"/>
          <w:sz w:val="22"/>
          <w:szCs w:val="22"/>
        </w:rPr>
      </w:pPr>
      <w:r>
        <w:rPr>
          <w:rFonts w:hint="eastAsia" w:ascii="微软雅黑" w:hAnsi="微软雅黑" w:eastAsia="微软雅黑" w:cs="Times New Roman"/>
          <w:bCs/>
          <w:color w:val="000000" w:themeColor="text1"/>
          <w:sz w:val="22"/>
          <w:szCs w:val="22"/>
          <w14:textFill>
            <w14:solidFill>
              <w14:schemeClr w14:val="tx1"/>
            </w14:solidFill>
          </w14:textFill>
        </w:rPr>
        <w:t>2021年度</w:t>
      </w:r>
      <w:r>
        <w:rPr>
          <w:rFonts w:hint="eastAsia" w:ascii="微软雅黑" w:hAnsi="微软雅黑" w:eastAsia="微软雅黑" w:cs="Times New Roman"/>
          <w:color w:val="000000" w:themeColor="text1"/>
          <w:sz w:val="22"/>
          <w:szCs w:val="22"/>
          <w14:textFill>
            <w14:solidFill>
              <w14:schemeClr w14:val="tx1"/>
            </w14:solidFill>
          </w14:textFill>
        </w:rPr>
        <w:t>年初结余22.1万元，</w:t>
      </w:r>
      <w:r>
        <w:rPr>
          <w:rFonts w:ascii="微软雅黑" w:hAnsi="微软雅黑" w:eastAsia="微软雅黑" w:cs="Times New Roman"/>
          <w:color w:val="000000" w:themeColor="text1"/>
          <w:sz w:val="22"/>
          <w:szCs w:val="22"/>
          <w14:textFill>
            <w14:solidFill>
              <w14:schemeClr w14:val="tx1"/>
            </w14:solidFill>
          </w14:textFill>
        </w:rPr>
        <w:t>收</w:t>
      </w:r>
      <w:r>
        <w:rPr>
          <w:rFonts w:hint="eastAsia" w:ascii="微软雅黑" w:hAnsi="微软雅黑" w:eastAsia="微软雅黑" w:cs="Times New Roman"/>
          <w:color w:val="000000" w:themeColor="text1"/>
          <w:sz w:val="22"/>
          <w:szCs w:val="22"/>
          <w14:textFill>
            <w14:solidFill>
              <w14:schemeClr w14:val="tx1"/>
            </w14:solidFill>
          </w14:textFill>
        </w:rPr>
        <w:t>入49万元，支出71.1万元。年末结余0万元；</w:t>
      </w:r>
      <w:r>
        <w:rPr>
          <w:rFonts w:ascii="微软雅黑" w:hAnsi="微软雅黑" w:eastAsia="微软雅黑" w:cs="Times New Roman"/>
          <w:color w:val="auto"/>
          <w:sz w:val="22"/>
          <w:szCs w:val="22"/>
        </w:rPr>
        <w:t>与20</w:t>
      </w:r>
      <w:r>
        <w:rPr>
          <w:rFonts w:hint="eastAsia" w:ascii="微软雅黑" w:hAnsi="微软雅黑" w:eastAsia="微软雅黑" w:cs="Times New Roman"/>
          <w:color w:val="auto"/>
          <w:sz w:val="22"/>
          <w:szCs w:val="22"/>
        </w:rPr>
        <w:t>20</w:t>
      </w:r>
      <w:r>
        <w:rPr>
          <w:rFonts w:ascii="微软雅黑" w:hAnsi="微软雅黑" w:eastAsia="微软雅黑" w:cs="Times New Roman"/>
          <w:color w:val="auto"/>
          <w:sz w:val="22"/>
          <w:szCs w:val="22"/>
        </w:rPr>
        <w:t>年相比</w:t>
      </w:r>
      <w:r>
        <w:rPr>
          <w:rFonts w:hint="eastAsia" w:ascii="微软雅黑" w:hAnsi="微软雅黑" w:eastAsia="微软雅黑" w:cs="Times New Roman"/>
          <w:color w:val="auto"/>
          <w:sz w:val="22"/>
          <w:szCs w:val="22"/>
        </w:rPr>
        <w:t>增加33.53</w:t>
      </w:r>
      <w:r>
        <w:rPr>
          <w:rFonts w:ascii="微软雅黑" w:hAnsi="微软雅黑" w:eastAsia="微软雅黑" w:cs="Times New Roman"/>
          <w:color w:val="auto"/>
          <w:sz w:val="22"/>
          <w:szCs w:val="22"/>
        </w:rPr>
        <w:t>万元，</w:t>
      </w:r>
      <w:r>
        <w:rPr>
          <w:rFonts w:hint="eastAsia" w:ascii="微软雅黑" w:hAnsi="微软雅黑" w:eastAsia="微软雅黑" w:cs="Times New Roman"/>
          <w:color w:val="auto"/>
          <w:sz w:val="22"/>
          <w:szCs w:val="22"/>
        </w:rPr>
        <w:t>增加89.2</w:t>
      </w:r>
      <w:r>
        <w:rPr>
          <w:rFonts w:ascii="微软雅黑" w:hAnsi="微软雅黑" w:eastAsia="微软雅黑" w:cs="Times New Roman"/>
          <w:color w:val="auto"/>
          <w:sz w:val="22"/>
          <w:szCs w:val="22"/>
        </w:rPr>
        <w:t>%，主要是因为</w:t>
      </w:r>
      <w:r>
        <w:rPr>
          <w:rFonts w:hint="eastAsia" w:ascii="微软雅黑" w:hAnsi="微软雅黑" w:eastAsia="微软雅黑" w:cs="Times New Roman"/>
          <w:color w:val="auto"/>
          <w:sz w:val="22"/>
          <w:szCs w:val="22"/>
        </w:rPr>
        <w:t>增加年初结</w:t>
      </w:r>
      <w:r>
        <w:rPr>
          <w:rFonts w:hint="eastAsia" w:ascii="微软雅黑" w:hAnsi="微软雅黑" w:eastAsia="微软雅黑" w:cs="Times New Roman"/>
          <w:color w:val="000000" w:themeColor="text1"/>
          <w:sz w:val="22"/>
          <w:szCs w:val="22"/>
          <w14:textFill>
            <w14:solidFill>
              <w14:schemeClr w14:val="tx1"/>
            </w14:solidFill>
          </w14:textFill>
        </w:rPr>
        <w:t>余</w:t>
      </w:r>
      <w:r>
        <w:rPr>
          <w:rFonts w:hint="eastAsia" w:ascii="微软雅黑" w:hAnsi="微软雅黑" w:eastAsia="微软雅黑" w:cs="Times New Roman"/>
          <w:color w:val="auto"/>
          <w:sz w:val="22"/>
          <w:szCs w:val="22"/>
        </w:rPr>
        <w:t>资金项目支出。</w:t>
      </w:r>
    </w:p>
    <w:p>
      <w:pPr>
        <w:pStyle w:val="28"/>
        <w:spacing w:line="600" w:lineRule="exact"/>
        <w:ind w:firstLine="440" w:firstLineChars="200"/>
        <w:rPr>
          <w:rFonts w:ascii="微软雅黑" w:hAnsi="微软雅黑" w:eastAsia="微软雅黑" w:cs="Times New Roman"/>
          <w:color w:val="auto"/>
          <w:sz w:val="22"/>
          <w:szCs w:val="22"/>
        </w:rPr>
      </w:pPr>
      <w:r>
        <w:rPr>
          <w:rFonts w:ascii="微软雅黑" w:hAnsi="微软雅黑" w:eastAsia="微软雅黑" w:cs="Times New Roman"/>
          <w:color w:val="auto"/>
          <w:sz w:val="22"/>
          <w:szCs w:val="22"/>
        </w:rPr>
        <w:t>五、一般公共预算财政拨款支出决算情况说明</w:t>
      </w:r>
    </w:p>
    <w:p>
      <w:pPr>
        <w:pStyle w:val="28"/>
        <w:spacing w:line="600" w:lineRule="exact"/>
        <w:ind w:firstLine="440" w:firstLineChars="200"/>
        <w:rPr>
          <w:rFonts w:ascii="微软雅黑" w:hAnsi="微软雅黑" w:eastAsia="微软雅黑" w:cs="Times New Roman"/>
          <w:b/>
          <w:color w:val="auto"/>
          <w:sz w:val="22"/>
          <w:szCs w:val="22"/>
        </w:rPr>
      </w:pPr>
      <w:r>
        <w:rPr>
          <w:rFonts w:hint="eastAsia" w:ascii="微软雅黑" w:hAnsi="微软雅黑" w:eastAsia="微软雅黑" w:cs="Times New Roman"/>
          <w:b/>
          <w:color w:val="auto"/>
          <w:sz w:val="22"/>
          <w:szCs w:val="22"/>
        </w:rPr>
        <w:t>（一）财政拨款支出决算总体情况</w:t>
      </w:r>
    </w:p>
    <w:p>
      <w:pPr>
        <w:pStyle w:val="28"/>
        <w:spacing w:line="600" w:lineRule="exact"/>
        <w:ind w:firstLine="440" w:firstLineChars="200"/>
        <w:rPr>
          <w:rFonts w:ascii="微软雅黑" w:hAnsi="微软雅黑" w:eastAsia="微软雅黑" w:cs="Times New Roman"/>
          <w:color w:val="auto"/>
          <w:sz w:val="22"/>
          <w:szCs w:val="22"/>
        </w:rPr>
      </w:pPr>
      <w:r>
        <w:rPr>
          <w:rFonts w:hint="eastAsia" w:ascii="微软雅黑" w:hAnsi="微软雅黑" w:eastAsia="微软雅黑" w:cs="Times New Roman"/>
          <w:color w:val="auto"/>
          <w:sz w:val="22"/>
          <w:szCs w:val="22"/>
        </w:rPr>
        <w:t>2021</w:t>
      </w:r>
      <w:r>
        <w:rPr>
          <w:rFonts w:ascii="微软雅黑" w:hAnsi="微软雅黑" w:eastAsia="微软雅黑" w:cs="Times New Roman"/>
          <w:color w:val="auto"/>
          <w:sz w:val="22"/>
          <w:szCs w:val="22"/>
        </w:rPr>
        <w:t>年度财政拨款支出</w:t>
      </w:r>
      <w:r>
        <w:rPr>
          <w:rFonts w:hint="eastAsia" w:ascii="微软雅黑" w:hAnsi="微软雅黑" w:eastAsia="微软雅黑" w:cs="Times New Roman"/>
          <w:color w:val="auto"/>
          <w:sz w:val="22"/>
          <w:szCs w:val="22"/>
        </w:rPr>
        <w:t>71.1</w:t>
      </w:r>
      <w:r>
        <w:rPr>
          <w:rFonts w:ascii="微软雅黑" w:hAnsi="微软雅黑" w:eastAsia="微软雅黑" w:cs="Times New Roman"/>
          <w:color w:val="auto"/>
          <w:sz w:val="22"/>
          <w:szCs w:val="22"/>
        </w:rPr>
        <w:t>万元，占本年支出合计的</w:t>
      </w:r>
      <w:r>
        <w:rPr>
          <w:rFonts w:hint="eastAsia" w:ascii="微软雅黑" w:hAnsi="微软雅黑" w:eastAsia="微软雅黑" w:cs="Times New Roman"/>
          <w:color w:val="auto"/>
          <w:sz w:val="22"/>
          <w:szCs w:val="22"/>
        </w:rPr>
        <w:t>100</w:t>
      </w:r>
      <w:r>
        <w:rPr>
          <w:rFonts w:ascii="微软雅黑" w:hAnsi="微软雅黑" w:eastAsia="微软雅黑" w:cs="Times New Roman"/>
          <w:color w:val="auto"/>
          <w:sz w:val="22"/>
          <w:szCs w:val="22"/>
        </w:rPr>
        <w:t>%，与20</w:t>
      </w:r>
      <w:r>
        <w:rPr>
          <w:rFonts w:hint="eastAsia" w:ascii="微软雅黑" w:hAnsi="微软雅黑" w:eastAsia="微软雅黑" w:cs="Times New Roman"/>
          <w:color w:val="auto"/>
          <w:sz w:val="22"/>
          <w:szCs w:val="22"/>
        </w:rPr>
        <w:t>20</w:t>
      </w:r>
      <w:r>
        <w:rPr>
          <w:rFonts w:ascii="微软雅黑" w:hAnsi="微软雅黑" w:eastAsia="微软雅黑" w:cs="Times New Roman"/>
          <w:color w:val="auto"/>
          <w:sz w:val="22"/>
          <w:szCs w:val="22"/>
        </w:rPr>
        <w:t>年相比，财政拨款支出相比</w:t>
      </w:r>
      <w:r>
        <w:rPr>
          <w:rFonts w:hint="eastAsia" w:ascii="微软雅黑" w:hAnsi="微软雅黑" w:eastAsia="微软雅黑" w:cs="Times New Roman"/>
          <w:color w:val="auto"/>
          <w:sz w:val="22"/>
          <w:szCs w:val="22"/>
        </w:rPr>
        <w:t>增加33.53</w:t>
      </w:r>
      <w:r>
        <w:rPr>
          <w:rFonts w:ascii="微软雅黑" w:hAnsi="微软雅黑" w:eastAsia="微软雅黑" w:cs="Times New Roman"/>
          <w:color w:val="auto"/>
          <w:sz w:val="22"/>
          <w:szCs w:val="22"/>
        </w:rPr>
        <w:t>万元，</w:t>
      </w:r>
      <w:r>
        <w:rPr>
          <w:rFonts w:hint="eastAsia" w:ascii="微软雅黑" w:hAnsi="微软雅黑" w:eastAsia="微软雅黑" w:cs="Times New Roman"/>
          <w:color w:val="auto"/>
          <w:sz w:val="22"/>
          <w:szCs w:val="22"/>
        </w:rPr>
        <w:t>增加89.2</w:t>
      </w:r>
      <w:r>
        <w:rPr>
          <w:rFonts w:ascii="微软雅黑" w:hAnsi="微软雅黑" w:eastAsia="微软雅黑" w:cs="Times New Roman"/>
          <w:color w:val="auto"/>
          <w:sz w:val="22"/>
          <w:szCs w:val="22"/>
        </w:rPr>
        <w:t>%，主要是因为</w:t>
      </w:r>
      <w:r>
        <w:rPr>
          <w:rFonts w:hint="eastAsia" w:ascii="微软雅黑" w:hAnsi="微软雅黑" w:eastAsia="微软雅黑" w:cs="Times New Roman"/>
          <w:color w:val="auto"/>
          <w:sz w:val="22"/>
          <w:szCs w:val="22"/>
        </w:rPr>
        <w:t>增加年初结</w:t>
      </w:r>
      <w:r>
        <w:rPr>
          <w:rFonts w:hint="eastAsia" w:ascii="微软雅黑" w:hAnsi="微软雅黑" w:eastAsia="微软雅黑" w:cs="Times New Roman"/>
          <w:color w:val="000000" w:themeColor="text1"/>
          <w:sz w:val="22"/>
          <w:szCs w:val="22"/>
          <w14:textFill>
            <w14:solidFill>
              <w14:schemeClr w14:val="tx1"/>
            </w14:solidFill>
          </w14:textFill>
        </w:rPr>
        <w:t>余</w:t>
      </w:r>
      <w:r>
        <w:rPr>
          <w:rFonts w:hint="eastAsia" w:ascii="微软雅黑" w:hAnsi="微软雅黑" w:eastAsia="微软雅黑" w:cs="Times New Roman"/>
          <w:color w:val="auto"/>
          <w:sz w:val="22"/>
          <w:szCs w:val="22"/>
        </w:rPr>
        <w:t>资金项目支出。</w:t>
      </w:r>
    </w:p>
    <w:p>
      <w:pPr>
        <w:pStyle w:val="28"/>
        <w:spacing w:line="600" w:lineRule="exact"/>
        <w:ind w:firstLine="440" w:firstLineChars="200"/>
        <w:rPr>
          <w:rFonts w:ascii="微软雅黑" w:hAnsi="微软雅黑" w:eastAsia="微软雅黑" w:cs="Times New Roman"/>
          <w:b/>
          <w:color w:val="auto"/>
          <w:sz w:val="22"/>
          <w:szCs w:val="22"/>
        </w:rPr>
      </w:pPr>
      <w:r>
        <w:rPr>
          <w:rFonts w:hint="eastAsia" w:ascii="微软雅黑" w:hAnsi="微软雅黑" w:eastAsia="微软雅黑" w:cs="Times New Roman"/>
          <w:b/>
          <w:color w:val="auto"/>
          <w:sz w:val="22"/>
          <w:szCs w:val="22"/>
        </w:rPr>
        <w:t>（二）财政拨款支出决算结构情况</w:t>
      </w:r>
    </w:p>
    <w:p>
      <w:pPr>
        <w:pStyle w:val="28"/>
        <w:spacing w:line="600" w:lineRule="exact"/>
        <w:ind w:firstLine="440" w:firstLineChars="200"/>
        <w:rPr>
          <w:rFonts w:ascii="微软雅黑" w:hAnsi="微软雅黑" w:eastAsia="微软雅黑" w:cs="Times New Roman"/>
          <w:color w:val="auto"/>
          <w:sz w:val="22"/>
          <w:szCs w:val="22"/>
        </w:rPr>
      </w:pPr>
      <w:r>
        <w:rPr>
          <w:rFonts w:hint="eastAsia" w:ascii="微软雅黑" w:hAnsi="微软雅黑" w:eastAsia="微软雅黑" w:cs="Times New Roman"/>
          <w:color w:val="auto"/>
          <w:sz w:val="22"/>
          <w:szCs w:val="22"/>
        </w:rPr>
        <w:t>2021</w:t>
      </w:r>
      <w:r>
        <w:rPr>
          <w:rFonts w:ascii="微软雅黑" w:hAnsi="微软雅黑" w:eastAsia="微软雅黑" w:cs="Times New Roman"/>
          <w:color w:val="auto"/>
          <w:sz w:val="22"/>
          <w:szCs w:val="22"/>
        </w:rPr>
        <w:t>年度财政拨款支出</w:t>
      </w:r>
      <w:r>
        <w:rPr>
          <w:rFonts w:hint="eastAsia" w:ascii="微软雅黑" w:hAnsi="微软雅黑" w:eastAsia="微软雅黑" w:cs="Times New Roman"/>
          <w:color w:val="auto"/>
          <w:sz w:val="22"/>
          <w:szCs w:val="22"/>
        </w:rPr>
        <w:t>71.1</w:t>
      </w:r>
      <w:r>
        <w:rPr>
          <w:rFonts w:ascii="微软雅黑" w:hAnsi="微软雅黑" w:eastAsia="微软雅黑" w:cs="Times New Roman"/>
          <w:color w:val="auto"/>
          <w:sz w:val="22"/>
          <w:szCs w:val="22"/>
        </w:rPr>
        <w:t>万元，主要用于以下方面：</w:t>
      </w:r>
      <w:r>
        <w:rPr>
          <w:rFonts w:hint="eastAsia" w:ascii="微软雅黑" w:hAnsi="微软雅黑" w:eastAsia="微软雅黑" w:cs="Times New Roman"/>
          <w:color w:val="auto"/>
          <w:sz w:val="22"/>
          <w:szCs w:val="22"/>
        </w:rPr>
        <w:t>一般公共服务支出3万元，</w:t>
      </w:r>
      <w:r>
        <w:rPr>
          <w:rFonts w:ascii="微软雅黑" w:hAnsi="微软雅黑" w:eastAsia="微软雅黑" w:cs="Times New Roman"/>
          <w:color w:val="auto"/>
          <w:sz w:val="22"/>
          <w:szCs w:val="22"/>
        </w:rPr>
        <w:t>占</w:t>
      </w:r>
      <w:r>
        <w:rPr>
          <w:rFonts w:hint="eastAsia" w:ascii="微软雅黑" w:hAnsi="微软雅黑" w:eastAsia="微软雅黑" w:cs="Times New Roman"/>
          <w:color w:val="auto"/>
          <w:sz w:val="22"/>
          <w:szCs w:val="22"/>
        </w:rPr>
        <w:t>4.2</w:t>
      </w:r>
      <w:r>
        <w:rPr>
          <w:rFonts w:ascii="微软雅黑" w:hAnsi="微软雅黑" w:eastAsia="微软雅黑" w:cs="Times New Roman"/>
          <w:color w:val="auto"/>
          <w:sz w:val="22"/>
          <w:szCs w:val="22"/>
        </w:rPr>
        <w:t>%</w:t>
      </w:r>
      <w:r>
        <w:rPr>
          <w:rFonts w:hint="eastAsia" w:ascii="微软雅黑" w:hAnsi="微软雅黑" w:eastAsia="微软雅黑" w:cs="Times New Roman"/>
          <w:color w:val="auto"/>
          <w:sz w:val="22"/>
          <w:szCs w:val="22"/>
        </w:rPr>
        <w:t>。农林水支出68.1</w:t>
      </w:r>
      <w:r>
        <w:rPr>
          <w:rFonts w:ascii="微软雅黑" w:hAnsi="微软雅黑" w:eastAsia="微软雅黑" w:cs="Times New Roman"/>
          <w:color w:val="auto"/>
          <w:sz w:val="22"/>
          <w:szCs w:val="22"/>
        </w:rPr>
        <w:t>万元，占</w:t>
      </w:r>
      <w:r>
        <w:rPr>
          <w:rFonts w:hint="eastAsia" w:ascii="微软雅黑" w:hAnsi="微软雅黑" w:eastAsia="微软雅黑" w:cs="Times New Roman"/>
          <w:color w:val="auto"/>
          <w:sz w:val="22"/>
          <w:szCs w:val="22"/>
        </w:rPr>
        <w:t>95.8</w:t>
      </w:r>
      <w:r>
        <w:rPr>
          <w:rFonts w:ascii="微软雅黑" w:hAnsi="微软雅黑" w:eastAsia="微软雅黑" w:cs="Times New Roman"/>
          <w:color w:val="auto"/>
          <w:sz w:val="22"/>
          <w:szCs w:val="22"/>
        </w:rPr>
        <w:t>%</w:t>
      </w:r>
      <w:r>
        <w:rPr>
          <w:rFonts w:hint="eastAsia" w:ascii="微软雅黑" w:hAnsi="微软雅黑" w:eastAsia="微软雅黑" w:cs="Times New Roman"/>
          <w:color w:val="auto"/>
          <w:sz w:val="22"/>
          <w:szCs w:val="22"/>
        </w:rPr>
        <w:t>。</w:t>
      </w:r>
      <w:r>
        <w:rPr>
          <w:rFonts w:ascii="微软雅黑" w:hAnsi="微软雅黑" w:eastAsia="微软雅黑" w:cs="Times New Roman"/>
          <w:color w:val="auto"/>
          <w:sz w:val="22"/>
          <w:szCs w:val="22"/>
        </w:rPr>
        <w:t>（可根据实际情况进行增减,要求到类级科目）</w:t>
      </w:r>
    </w:p>
    <w:p>
      <w:pPr>
        <w:pStyle w:val="28"/>
        <w:spacing w:line="600" w:lineRule="exact"/>
        <w:ind w:firstLine="440" w:firstLineChars="200"/>
        <w:rPr>
          <w:rFonts w:ascii="微软雅黑" w:hAnsi="微软雅黑" w:eastAsia="微软雅黑" w:cs="Times New Roman"/>
          <w:b/>
          <w:color w:val="auto"/>
          <w:sz w:val="22"/>
          <w:szCs w:val="22"/>
        </w:rPr>
      </w:pPr>
      <w:r>
        <w:rPr>
          <w:rFonts w:hint="eastAsia" w:ascii="微软雅黑" w:hAnsi="微软雅黑" w:eastAsia="微软雅黑" w:cs="Times New Roman"/>
          <w:b/>
          <w:color w:val="auto"/>
          <w:sz w:val="22"/>
          <w:szCs w:val="22"/>
        </w:rPr>
        <w:t>（三）财政拨款支出决算具体情况</w:t>
      </w:r>
    </w:p>
    <w:p>
      <w:pPr>
        <w:pStyle w:val="28"/>
        <w:spacing w:line="600" w:lineRule="exact"/>
        <w:ind w:firstLine="440" w:firstLineChars="200"/>
        <w:rPr>
          <w:rFonts w:ascii="微软雅黑" w:hAnsi="微软雅黑" w:eastAsia="微软雅黑" w:cs="Times New Roman"/>
          <w:color w:val="auto"/>
          <w:sz w:val="22"/>
          <w:szCs w:val="22"/>
        </w:rPr>
      </w:pPr>
      <w:r>
        <w:rPr>
          <w:rFonts w:hint="eastAsia" w:ascii="微软雅黑" w:hAnsi="微软雅黑" w:eastAsia="微软雅黑" w:cs="Times New Roman"/>
          <w:color w:val="auto"/>
          <w:sz w:val="22"/>
          <w:szCs w:val="22"/>
        </w:rPr>
        <w:t>2021</w:t>
      </w:r>
      <w:r>
        <w:rPr>
          <w:rFonts w:ascii="微软雅黑" w:hAnsi="微软雅黑" w:eastAsia="微软雅黑" w:cs="Times New Roman"/>
          <w:color w:val="auto"/>
          <w:sz w:val="22"/>
          <w:szCs w:val="22"/>
        </w:rPr>
        <w:t>年度财政拨款支出年初预算数为</w:t>
      </w:r>
      <w:r>
        <w:rPr>
          <w:rFonts w:hint="eastAsia" w:ascii="微软雅黑" w:hAnsi="微软雅黑" w:eastAsia="微软雅黑" w:cs="Times New Roman"/>
          <w:color w:val="auto"/>
          <w:sz w:val="22"/>
          <w:szCs w:val="22"/>
        </w:rPr>
        <w:t>71.1</w:t>
      </w:r>
      <w:r>
        <w:rPr>
          <w:rFonts w:ascii="微软雅黑" w:hAnsi="微软雅黑" w:eastAsia="微软雅黑" w:cs="Times New Roman"/>
          <w:color w:val="auto"/>
          <w:sz w:val="22"/>
          <w:szCs w:val="22"/>
        </w:rPr>
        <w:t>万元，支出决算数为</w:t>
      </w:r>
      <w:r>
        <w:rPr>
          <w:rFonts w:hint="eastAsia" w:ascii="微软雅黑" w:hAnsi="微软雅黑" w:eastAsia="微软雅黑" w:cs="Times New Roman"/>
          <w:color w:val="auto"/>
          <w:sz w:val="22"/>
          <w:szCs w:val="22"/>
        </w:rPr>
        <w:t>71.1</w:t>
      </w:r>
      <w:r>
        <w:rPr>
          <w:rFonts w:ascii="微软雅黑" w:hAnsi="微软雅黑" w:eastAsia="微软雅黑" w:cs="Times New Roman"/>
          <w:color w:val="auto"/>
          <w:sz w:val="22"/>
          <w:szCs w:val="22"/>
        </w:rPr>
        <w:t>万元，完成年初预算的</w:t>
      </w:r>
      <w:r>
        <w:rPr>
          <w:rFonts w:hint="eastAsia" w:ascii="微软雅黑" w:hAnsi="微软雅黑" w:eastAsia="微软雅黑" w:cs="Times New Roman"/>
          <w:color w:val="auto"/>
          <w:sz w:val="22"/>
          <w:szCs w:val="22"/>
        </w:rPr>
        <w:t>100</w:t>
      </w:r>
      <w:r>
        <w:rPr>
          <w:rFonts w:ascii="微软雅黑" w:hAnsi="微软雅黑" w:eastAsia="微软雅黑" w:cs="Times New Roman"/>
          <w:color w:val="auto"/>
          <w:sz w:val="22"/>
          <w:szCs w:val="22"/>
        </w:rPr>
        <w:t>%，其中：</w:t>
      </w:r>
    </w:p>
    <w:p>
      <w:pPr>
        <w:pStyle w:val="28"/>
        <w:spacing w:line="600" w:lineRule="exact"/>
        <w:ind w:firstLine="440" w:firstLineChars="200"/>
        <w:rPr>
          <w:rFonts w:ascii="微软雅黑" w:hAnsi="微软雅黑" w:eastAsia="微软雅黑" w:cs="Times New Roman"/>
          <w:color w:val="auto"/>
          <w:sz w:val="22"/>
          <w:szCs w:val="22"/>
        </w:rPr>
      </w:pPr>
      <w:r>
        <w:rPr>
          <w:rFonts w:ascii="微软雅黑" w:hAnsi="微软雅黑" w:eastAsia="微软雅黑" w:cs="Times New Roman"/>
          <w:color w:val="auto"/>
          <w:sz w:val="22"/>
          <w:szCs w:val="22"/>
        </w:rPr>
        <w:t>1、一般公共服务</w:t>
      </w:r>
      <w:r>
        <w:rPr>
          <w:rFonts w:hint="eastAsia" w:ascii="微软雅黑" w:hAnsi="微软雅黑" w:eastAsia="微软雅黑" w:cs="Times New Roman"/>
          <w:color w:val="auto"/>
          <w:sz w:val="22"/>
          <w:szCs w:val="22"/>
        </w:rPr>
        <w:t>支出</w:t>
      </w:r>
      <w:r>
        <w:rPr>
          <w:rFonts w:ascii="微软雅黑" w:hAnsi="微软雅黑" w:eastAsia="微软雅黑" w:cs="Times New Roman"/>
          <w:color w:val="auto"/>
          <w:sz w:val="22"/>
          <w:szCs w:val="22"/>
        </w:rPr>
        <w:t>。</w:t>
      </w:r>
    </w:p>
    <w:p>
      <w:pPr>
        <w:pStyle w:val="28"/>
        <w:spacing w:line="600" w:lineRule="exact"/>
        <w:ind w:firstLine="440" w:firstLineChars="200"/>
        <w:rPr>
          <w:rFonts w:hint="eastAsia" w:ascii="微软雅黑" w:hAnsi="微软雅黑" w:eastAsia="微软雅黑" w:cs="Times New Roman"/>
          <w:color w:val="auto"/>
          <w:sz w:val="22"/>
          <w:szCs w:val="22"/>
        </w:rPr>
      </w:pPr>
      <w:r>
        <w:rPr>
          <w:rFonts w:ascii="微软雅黑" w:hAnsi="微软雅黑" w:eastAsia="微软雅黑" w:cs="Times New Roman"/>
          <w:color w:val="auto"/>
          <w:sz w:val="22"/>
          <w:szCs w:val="22"/>
        </w:rPr>
        <w:t>年初预算为</w:t>
      </w:r>
      <w:r>
        <w:rPr>
          <w:rFonts w:hint="eastAsia" w:ascii="微软雅黑" w:hAnsi="微软雅黑" w:eastAsia="微软雅黑" w:cs="Times New Roman"/>
          <w:color w:val="auto"/>
          <w:sz w:val="22"/>
          <w:szCs w:val="22"/>
        </w:rPr>
        <w:t>3</w:t>
      </w:r>
      <w:r>
        <w:rPr>
          <w:rFonts w:ascii="微软雅黑" w:hAnsi="微软雅黑" w:eastAsia="微软雅黑" w:cs="Times New Roman"/>
          <w:color w:val="auto"/>
          <w:sz w:val="22"/>
          <w:szCs w:val="22"/>
        </w:rPr>
        <w:t>万元，支出决算为</w:t>
      </w:r>
      <w:r>
        <w:rPr>
          <w:rFonts w:hint="eastAsia" w:ascii="微软雅黑" w:hAnsi="微软雅黑" w:eastAsia="微软雅黑" w:cs="Times New Roman"/>
          <w:color w:val="auto"/>
          <w:sz w:val="22"/>
          <w:szCs w:val="22"/>
        </w:rPr>
        <w:t>3</w:t>
      </w:r>
      <w:r>
        <w:rPr>
          <w:rFonts w:ascii="微软雅黑" w:hAnsi="微软雅黑" w:eastAsia="微软雅黑" w:cs="Times New Roman"/>
          <w:color w:val="auto"/>
          <w:sz w:val="22"/>
          <w:szCs w:val="22"/>
        </w:rPr>
        <w:t>万元，完成年初预算的</w:t>
      </w:r>
      <w:r>
        <w:rPr>
          <w:rFonts w:hint="eastAsia" w:ascii="微软雅黑" w:hAnsi="微软雅黑" w:eastAsia="微软雅黑" w:cs="Times New Roman"/>
          <w:color w:val="auto"/>
          <w:sz w:val="22"/>
          <w:szCs w:val="22"/>
        </w:rPr>
        <w:t>4.2</w:t>
      </w:r>
      <w:r>
        <w:rPr>
          <w:rFonts w:ascii="微软雅黑" w:hAnsi="微软雅黑" w:eastAsia="微软雅黑" w:cs="Times New Roman"/>
          <w:color w:val="auto"/>
          <w:sz w:val="22"/>
          <w:szCs w:val="22"/>
        </w:rPr>
        <w:t>%</w:t>
      </w:r>
      <w:r>
        <w:rPr>
          <w:rFonts w:hint="eastAsia" w:ascii="微软雅黑" w:hAnsi="微软雅黑" w:eastAsia="微软雅黑" w:cs="Times New Roman"/>
          <w:color w:val="auto"/>
          <w:sz w:val="22"/>
          <w:szCs w:val="22"/>
        </w:rPr>
        <w:t>。</w:t>
      </w:r>
    </w:p>
    <w:p>
      <w:pPr>
        <w:pStyle w:val="28"/>
        <w:spacing w:line="600" w:lineRule="exact"/>
        <w:ind w:firstLine="440" w:firstLineChars="200"/>
        <w:rPr>
          <w:rFonts w:hint="eastAsia" w:ascii="微软雅黑" w:hAnsi="微软雅黑" w:eastAsia="微软雅黑" w:cs="Times New Roman"/>
          <w:color w:val="auto"/>
          <w:sz w:val="22"/>
          <w:szCs w:val="22"/>
        </w:rPr>
      </w:pPr>
      <w:r>
        <w:rPr>
          <w:rFonts w:hint="eastAsia" w:ascii="微软雅黑" w:hAnsi="微软雅黑" w:eastAsia="微软雅黑" w:cs="Times New Roman"/>
          <w:color w:val="auto"/>
          <w:sz w:val="22"/>
          <w:szCs w:val="22"/>
        </w:rPr>
        <w:t>2、农林水支出</w:t>
      </w:r>
    </w:p>
    <w:p>
      <w:pPr>
        <w:pStyle w:val="28"/>
        <w:spacing w:line="600" w:lineRule="exact"/>
        <w:ind w:firstLine="440" w:firstLineChars="200"/>
        <w:rPr>
          <w:rFonts w:hint="eastAsia" w:ascii="微软雅黑" w:hAnsi="微软雅黑" w:eastAsia="微软雅黑" w:cs="Times New Roman"/>
          <w:color w:val="auto"/>
          <w:sz w:val="22"/>
          <w:szCs w:val="22"/>
        </w:rPr>
      </w:pPr>
      <w:r>
        <w:rPr>
          <w:rFonts w:ascii="微软雅黑" w:hAnsi="微软雅黑" w:eastAsia="微软雅黑" w:cs="Times New Roman"/>
          <w:color w:val="auto"/>
          <w:sz w:val="22"/>
          <w:szCs w:val="22"/>
        </w:rPr>
        <w:t>年初预算为</w:t>
      </w:r>
      <w:r>
        <w:rPr>
          <w:rFonts w:hint="eastAsia" w:ascii="微软雅黑" w:hAnsi="微软雅黑" w:eastAsia="微软雅黑" w:cs="Times New Roman"/>
          <w:color w:val="auto"/>
          <w:sz w:val="22"/>
          <w:szCs w:val="22"/>
        </w:rPr>
        <w:t>68.1</w:t>
      </w:r>
      <w:r>
        <w:rPr>
          <w:rFonts w:ascii="微软雅黑" w:hAnsi="微软雅黑" w:eastAsia="微软雅黑" w:cs="Times New Roman"/>
          <w:color w:val="auto"/>
          <w:sz w:val="22"/>
          <w:szCs w:val="22"/>
        </w:rPr>
        <w:t>万元，支出决算为</w:t>
      </w:r>
      <w:r>
        <w:rPr>
          <w:rFonts w:hint="eastAsia" w:ascii="微软雅黑" w:hAnsi="微软雅黑" w:eastAsia="微软雅黑" w:cs="Times New Roman"/>
          <w:color w:val="auto"/>
          <w:sz w:val="22"/>
          <w:szCs w:val="22"/>
        </w:rPr>
        <w:t>68.1</w:t>
      </w:r>
      <w:r>
        <w:rPr>
          <w:rFonts w:ascii="微软雅黑" w:hAnsi="微软雅黑" w:eastAsia="微软雅黑" w:cs="Times New Roman"/>
          <w:color w:val="auto"/>
          <w:sz w:val="22"/>
          <w:szCs w:val="22"/>
        </w:rPr>
        <w:t>万元，完成年初预算的</w:t>
      </w:r>
      <w:r>
        <w:rPr>
          <w:rFonts w:hint="eastAsia" w:ascii="微软雅黑" w:hAnsi="微软雅黑" w:eastAsia="微软雅黑" w:cs="Times New Roman"/>
          <w:color w:val="auto"/>
          <w:sz w:val="22"/>
          <w:szCs w:val="22"/>
        </w:rPr>
        <w:t>95.8</w:t>
      </w:r>
      <w:r>
        <w:rPr>
          <w:rFonts w:ascii="微软雅黑" w:hAnsi="微软雅黑" w:eastAsia="微软雅黑" w:cs="Times New Roman"/>
          <w:color w:val="auto"/>
          <w:sz w:val="22"/>
          <w:szCs w:val="22"/>
        </w:rPr>
        <w:t>%</w:t>
      </w:r>
      <w:r>
        <w:rPr>
          <w:rFonts w:hint="eastAsia" w:ascii="微软雅黑" w:hAnsi="微软雅黑" w:eastAsia="微软雅黑" w:cs="Times New Roman"/>
          <w:color w:val="auto"/>
          <w:sz w:val="22"/>
          <w:szCs w:val="22"/>
        </w:rPr>
        <w:t>。</w:t>
      </w:r>
    </w:p>
    <w:p>
      <w:pPr>
        <w:pStyle w:val="28"/>
        <w:spacing w:line="600" w:lineRule="exact"/>
        <w:ind w:firstLine="440" w:firstLineChars="200"/>
        <w:rPr>
          <w:rFonts w:ascii="微软雅黑" w:hAnsi="微软雅黑" w:eastAsia="微软雅黑" w:cs="Times New Roman"/>
          <w:color w:val="auto"/>
          <w:sz w:val="22"/>
          <w:szCs w:val="22"/>
        </w:rPr>
      </w:pPr>
      <w:r>
        <w:rPr>
          <w:rFonts w:ascii="微软雅黑" w:hAnsi="微软雅黑" w:eastAsia="微软雅黑" w:cs="Times New Roman"/>
          <w:color w:val="auto"/>
          <w:sz w:val="22"/>
          <w:szCs w:val="22"/>
        </w:rPr>
        <w:t>六、一般公共预算财政拨款基本支出决算情况说明</w:t>
      </w:r>
    </w:p>
    <w:p>
      <w:pPr>
        <w:pStyle w:val="28"/>
        <w:spacing w:line="600" w:lineRule="exact"/>
        <w:ind w:firstLine="440" w:firstLineChars="200"/>
        <w:rPr>
          <w:rFonts w:hint="eastAsia" w:ascii="微软雅黑" w:hAnsi="微软雅黑" w:eastAsia="微软雅黑" w:cs="Times New Roman"/>
          <w:color w:val="auto"/>
          <w:sz w:val="22"/>
          <w:szCs w:val="22"/>
        </w:rPr>
      </w:pPr>
      <w:r>
        <w:rPr>
          <w:rFonts w:hint="eastAsia" w:ascii="微软雅黑" w:hAnsi="微软雅黑" w:eastAsia="微软雅黑" w:cs="Times New Roman"/>
          <w:color w:val="auto"/>
          <w:sz w:val="22"/>
          <w:szCs w:val="22"/>
        </w:rPr>
        <w:t>2021</w:t>
      </w:r>
      <w:r>
        <w:rPr>
          <w:rFonts w:ascii="微软雅黑" w:hAnsi="微软雅黑" w:eastAsia="微软雅黑" w:cs="Times New Roman"/>
          <w:color w:val="auto"/>
          <w:sz w:val="22"/>
          <w:szCs w:val="22"/>
        </w:rPr>
        <w:t>年度财政拨款基本支出</w:t>
      </w:r>
      <w:r>
        <w:rPr>
          <w:rFonts w:hint="eastAsia" w:ascii="微软雅黑" w:hAnsi="微软雅黑" w:eastAsia="微软雅黑" w:cs="Times New Roman"/>
          <w:color w:val="auto"/>
          <w:sz w:val="22"/>
          <w:szCs w:val="22"/>
        </w:rPr>
        <w:t>71.1</w:t>
      </w:r>
      <w:r>
        <w:rPr>
          <w:rFonts w:ascii="微软雅黑" w:hAnsi="微软雅黑" w:eastAsia="微软雅黑" w:cs="Times New Roman"/>
          <w:color w:val="auto"/>
          <w:sz w:val="22"/>
          <w:szCs w:val="22"/>
        </w:rPr>
        <w:t>万元，其中：人员经费</w:t>
      </w:r>
      <w:r>
        <w:rPr>
          <w:rFonts w:hint="eastAsia" w:ascii="微软雅黑" w:hAnsi="微软雅黑" w:eastAsia="微软雅黑" w:cs="Times New Roman"/>
          <w:color w:val="auto"/>
          <w:sz w:val="22"/>
          <w:szCs w:val="22"/>
        </w:rPr>
        <w:t>38.6</w:t>
      </w:r>
      <w:r>
        <w:rPr>
          <w:rFonts w:ascii="微软雅黑" w:hAnsi="微软雅黑" w:eastAsia="微软雅黑" w:cs="Times New Roman"/>
          <w:color w:val="auto"/>
          <w:sz w:val="22"/>
          <w:szCs w:val="22"/>
        </w:rPr>
        <w:t>万元，占基本支出的</w:t>
      </w:r>
      <w:r>
        <w:rPr>
          <w:rFonts w:hint="eastAsia" w:ascii="微软雅黑" w:hAnsi="微软雅黑" w:eastAsia="微软雅黑" w:cs="Times New Roman"/>
          <w:color w:val="auto"/>
          <w:sz w:val="22"/>
          <w:szCs w:val="22"/>
        </w:rPr>
        <w:t>54.3</w:t>
      </w:r>
      <w:r>
        <w:rPr>
          <w:rFonts w:ascii="微软雅黑" w:hAnsi="微软雅黑" w:eastAsia="微软雅黑" w:cs="Times New Roman"/>
          <w:color w:val="auto"/>
          <w:sz w:val="22"/>
          <w:szCs w:val="22"/>
        </w:rPr>
        <w:t>%,主要包括基本工资、津贴补贴、奖金、伙食补助费</w:t>
      </w:r>
      <w:r>
        <w:rPr>
          <w:rFonts w:hint="eastAsia" w:ascii="微软雅黑" w:hAnsi="微软雅黑" w:eastAsia="微软雅黑" w:cs="Times New Roman"/>
          <w:color w:val="auto"/>
          <w:sz w:val="22"/>
          <w:szCs w:val="22"/>
        </w:rPr>
        <w:t>、绩效工资、机关事业单位基本养老保险缴费、职业年金缴费、住房公积金</w:t>
      </w:r>
      <w:r>
        <w:rPr>
          <w:rFonts w:ascii="微软雅黑" w:hAnsi="微软雅黑" w:eastAsia="微软雅黑" w:cs="Times New Roman"/>
          <w:color w:val="auto"/>
          <w:sz w:val="22"/>
          <w:szCs w:val="22"/>
        </w:rPr>
        <w:t>；公用经费</w:t>
      </w:r>
      <w:r>
        <w:rPr>
          <w:rFonts w:hint="eastAsia" w:ascii="微软雅黑" w:hAnsi="微软雅黑" w:eastAsia="微软雅黑" w:cs="Times New Roman"/>
          <w:color w:val="auto"/>
          <w:sz w:val="22"/>
          <w:szCs w:val="22"/>
        </w:rPr>
        <w:t>31.6</w:t>
      </w:r>
      <w:r>
        <w:rPr>
          <w:rFonts w:ascii="微软雅黑" w:hAnsi="微软雅黑" w:eastAsia="微软雅黑" w:cs="Times New Roman"/>
          <w:color w:val="auto"/>
          <w:sz w:val="22"/>
          <w:szCs w:val="22"/>
        </w:rPr>
        <w:t>万元，占基本支出的</w:t>
      </w:r>
      <w:r>
        <w:rPr>
          <w:rFonts w:hint="eastAsia" w:ascii="微软雅黑" w:hAnsi="微软雅黑" w:eastAsia="微软雅黑" w:cs="Times New Roman"/>
          <w:color w:val="auto"/>
          <w:sz w:val="22"/>
          <w:szCs w:val="22"/>
        </w:rPr>
        <w:t>44.5</w:t>
      </w:r>
      <w:r>
        <w:rPr>
          <w:rFonts w:ascii="微软雅黑" w:hAnsi="微软雅黑" w:eastAsia="微软雅黑" w:cs="Times New Roman"/>
          <w:color w:val="auto"/>
          <w:sz w:val="22"/>
          <w:szCs w:val="22"/>
        </w:rPr>
        <w:t>%，主要包括办公费、印刷费、</w:t>
      </w:r>
      <w:r>
        <w:rPr>
          <w:rFonts w:hint="eastAsia" w:ascii="微软雅黑" w:hAnsi="微软雅黑" w:eastAsia="微软雅黑" w:cs="Times New Roman"/>
          <w:color w:val="auto"/>
          <w:sz w:val="22"/>
          <w:szCs w:val="22"/>
        </w:rPr>
        <w:t>差旅</w:t>
      </w:r>
      <w:r>
        <w:rPr>
          <w:rFonts w:ascii="微软雅黑" w:hAnsi="微软雅黑" w:eastAsia="微软雅黑" w:cs="Times New Roman"/>
          <w:color w:val="auto"/>
          <w:sz w:val="22"/>
          <w:szCs w:val="22"/>
        </w:rPr>
        <w:t>费、</w:t>
      </w:r>
      <w:r>
        <w:rPr>
          <w:rFonts w:hint="eastAsia" w:ascii="微软雅黑" w:hAnsi="微软雅黑" w:eastAsia="微软雅黑" w:cs="Times New Roman"/>
          <w:color w:val="auto"/>
          <w:sz w:val="22"/>
          <w:szCs w:val="22"/>
        </w:rPr>
        <w:t>公务接待</w:t>
      </w:r>
      <w:r>
        <w:rPr>
          <w:rFonts w:ascii="微软雅黑" w:hAnsi="微软雅黑" w:eastAsia="微软雅黑" w:cs="Times New Roman"/>
          <w:color w:val="auto"/>
          <w:sz w:val="22"/>
          <w:szCs w:val="22"/>
        </w:rPr>
        <w:t>费</w:t>
      </w:r>
      <w:r>
        <w:rPr>
          <w:rFonts w:hint="eastAsia" w:ascii="微软雅黑" w:hAnsi="微软雅黑" w:eastAsia="微软雅黑" w:cs="Times New Roman"/>
          <w:color w:val="auto"/>
          <w:sz w:val="22"/>
          <w:szCs w:val="22"/>
        </w:rPr>
        <w:t>、劳务费</w:t>
      </w:r>
      <w:r>
        <w:rPr>
          <w:rFonts w:ascii="微软雅黑" w:hAnsi="微软雅黑" w:eastAsia="微软雅黑" w:cs="Times New Roman"/>
          <w:color w:val="auto"/>
          <w:sz w:val="22"/>
          <w:szCs w:val="22"/>
        </w:rPr>
        <w:t>。</w:t>
      </w:r>
      <w:r>
        <w:rPr>
          <w:rFonts w:hint="eastAsia" w:ascii="微软雅黑" w:hAnsi="微软雅黑" w:eastAsia="微软雅黑" w:cs="Times New Roman"/>
          <w:color w:val="auto"/>
          <w:sz w:val="22"/>
          <w:szCs w:val="22"/>
        </w:rPr>
        <w:t>对个人和家庭的补助0.9万元</w:t>
      </w:r>
      <w:r>
        <w:rPr>
          <w:rFonts w:ascii="微软雅黑" w:hAnsi="微软雅黑" w:eastAsia="微软雅黑" w:cs="Times New Roman"/>
          <w:color w:val="auto"/>
          <w:sz w:val="22"/>
          <w:szCs w:val="22"/>
        </w:rPr>
        <w:t>占基本支出的</w:t>
      </w:r>
      <w:r>
        <w:rPr>
          <w:rFonts w:hint="eastAsia" w:ascii="微软雅黑" w:hAnsi="微软雅黑" w:eastAsia="微软雅黑" w:cs="Times New Roman"/>
          <w:color w:val="auto"/>
          <w:sz w:val="22"/>
          <w:szCs w:val="22"/>
        </w:rPr>
        <w:t>0.2</w:t>
      </w:r>
      <w:r>
        <w:rPr>
          <w:rFonts w:ascii="微软雅黑" w:hAnsi="微软雅黑" w:eastAsia="微软雅黑" w:cs="Times New Roman"/>
          <w:color w:val="auto"/>
          <w:sz w:val="22"/>
          <w:szCs w:val="22"/>
        </w:rPr>
        <w:t>%，主要</w:t>
      </w:r>
      <w:r>
        <w:rPr>
          <w:rFonts w:hint="eastAsia" w:ascii="微软雅黑" w:hAnsi="微软雅黑" w:eastAsia="微软雅黑" w:cs="Times New Roman"/>
          <w:color w:val="auto"/>
          <w:sz w:val="22"/>
          <w:szCs w:val="22"/>
        </w:rPr>
        <w:t>用于结老党员退休职工的慰问走访资金。</w:t>
      </w:r>
    </w:p>
    <w:p>
      <w:pPr>
        <w:pStyle w:val="28"/>
        <w:spacing w:line="600" w:lineRule="exact"/>
        <w:ind w:firstLine="440" w:firstLineChars="200"/>
        <w:rPr>
          <w:rFonts w:ascii="微软雅黑" w:hAnsi="微软雅黑" w:eastAsia="微软雅黑" w:cs="Times New Roman"/>
          <w:color w:val="auto"/>
          <w:sz w:val="22"/>
          <w:szCs w:val="22"/>
        </w:rPr>
      </w:pPr>
      <w:r>
        <w:rPr>
          <w:rFonts w:ascii="微软雅黑" w:hAnsi="微软雅黑" w:eastAsia="微软雅黑" w:cs="Times New Roman"/>
          <w:color w:val="auto"/>
          <w:sz w:val="22"/>
          <w:szCs w:val="22"/>
        </w:rPr>
        <w:t>七、一般公共预算财政拨款三公经费支出决算情况说明</w:t>
      </w:r>
    </w:p>
    <w:p>
      <w:pPr>
        <w:pStyle w:val="28"/>
        <w:spacing w:line="600" w:lineRule="exact"/>
        <w:ind w:firstLine="440" w:firstLineChars="200"/>
        <w:rPr>
          <w:rFonts w:ascii="微软雅黑" w:hAnsi="微软雅黑" w:eastAsia="微软雅黑" w:cs="Times New Roman"/>
          <w:b/>
          <w:color w:val="auto"/>
          <w:sz w:val="22"/>
          <w:szCs w:val="22"/>
        </w:rPr>
      </w:pPr>
      <w:r>
        <w:rPr>
          <w:rFonts w:hint="eastAsia" w:ascii="微软雅黑" w:hAnsi="微软雅黑" w:eastAsia="微软雅黑" w:cs="Times New Roman"/>
          <w:b/>
          <w:color w:val="auto"/>
          <w:sz w:val="22"/>
          <w:szCs w:val="22"/>
        </w:rPr>
        <w:t>（一）“三公”经费财政拨款支出决算总体情况说明</w:t>
      </w:r>
    </w:p>
    <w:p>
      <w:pPr>
        <w:pStyle w:val="28"/>
        <w:spacing w:line="600" w:lineRule="exact"/>
        <w:ind w:firstLine="440" w:firstLineChars="200"/>
        <w:rPr>
          <w:rFonts w:ascii="微软雅黑" w:hAnsi="微软雅黑" w:eastAsia="微软雅黑" w:cs="Times New Roman"/>
          <w:color w:val="auto"/>
          <w:sz w:val="22"/>
          <w:szCs w:val="22"/>
        </w:rPr>
      </w:pPr>
      <w:r>
        <w:rPr>
          <w:rFonts w:ascii="微软雅黑" w:hAnsi="微软雅黑" w:eastAsia="微软雅黑" w:cs="Times New Roman"/>
          <w:color w:val="auto"/>
          <w:sz w:val="22"/>
          <w:szCs w:val="22"/>
        </w:rPr>
        <w:t>“三公”经费财政拨款支出预算为</w:t>
      </w:r>
      <w:r>
        <w:rPr>
          <w:rFonts w:hint="eastAsia" w:ascii="微软雅黑" w:hAnsi="微软雅黑" w:eastAsia="微软雅黑" w:cs="Times New Roman"/>
          <w:color w:val="auto"/>
          <w:sz w:val="22"/>
          <w:szCs w:val="22"/>
        </w:rPr>
        <w:t>1</w:t>
      </w:r>
      <w:r>
        <w:rPr>
          <w:rFonts w:ascii="微软雅黑" w:hAnsi="微软雅黑" w:eastAsia="微软雅黑" w:cs="Times New Roman"/>
          <w:color w:val="auto"/>
          <w:sz w:val="22"/>
          <w:szCs w:val="22"/>
        </w:rPr>
        <w:t xml:space="preserve">万元，支出决算为 </w:t>
      </w:r>
      <w:r>
        <w:rPr>
          <w:rFonts w:hint="eastAsia" w:ascii="微软雅黑" w:hAnsi="微软雅黑" w:eastAsia="微软雅黑" w:cs="Times New Roman"/>
          <w:color w:val="auto"/>
          <w:sz w:val="22"/>
          <w:szCs w:val="22"/>
        </w:rPr>
        <w:t>1</w:t>
      </w:r>
      <w:r>
        <w:rPr>
          <w:rFonts w:ascii="微软雅黑" w:hAnsi="微软雅黑" w:eastAsia="微软雅黑" w:cs="Times New Roman"/>
          <w:color w:val="auto"/>
          <w:sz w:val="22"/>
          <w:szCs w:val="22"/>
        </w:rPr>
        <w:t>万元，完成预算的</w:t>
      </w:r>
      <w:r>
        <w:rPr>
          <w:rFonts w:hint="eastAsia" w:ascii="微软雅黑" w:hAnsi="微软雅黑" w:eastAsia="微软雅黑" w:cs="Times New Roman"/>
          <w:color w:val="auto"/>
          <w:sz w:val="22"/>
          <w:szCs w:val="22"/>
        </w:rPr>
        <w:t>100</w:t>
      </w:r>
      <w:r>
        <w:rPr>
          <w:rFonts w:ascii="微软雅黑" w:hAnsi="微软雅黑" w:eastAsia="微软雅黑" w:cs="Times New Roman"/>
          <w:color w:val="auto"/>
          <w:sz w:val="22"/>
          <w:szCs w:val="22"/>
        </w:rPr>
        <w:t>%，其中：</w:t>
      </w:r>
    </w:p>
    <w:p>
      <w:pPr>
        <w:pStyle w:val="28"/>
        <w:spacing w:line="600" w:lineRule="exact"/>
        <w:ind w:firstLine="440" w:firstLineChars="200"/>
        <w:rPr>
          <w:rFonts w:ascii="微软雅黑" w:hAnsi="微软雅黑" w:eastAsia="微软雅黑" w:cs="Times New Roman"/>
          <w:color w:val="auto"/>
          <w:sz w:val="22"/>
          <w:szCs w:val="22"/>
        </w:rPr>
      </w:pPr>
      <w:r>
        <w:rPr>
          <w:rFonts w:ascii="微软雅黑" w:hAnsi="微软雅黑" w:eastAsia="微软雅黑" w:cs="Times New Roman"/>
          <w:color w:val="auto"/>
          <w:sz w:val="22"/>
          <w:szCs w:val="22"/>
        </w:rPr>
        <w:t>公务接待费支出预算</w:t>
      </w:r>
      <w:r>
        <w:rPr>
          <w:rFonts w:hint="eastAsia" w:ascii="微软雅黑" w:hAnsi="微软雅黑" w:eastAsia="微软雅黑" w:cs="Times New Roman"/>
          <w:color w:val="auto"/>
          <w:sz w:val="22"/>
          <w:szCs w:val="22"/>
        </w:rPr>
        <w:t>1</w:t>
      </w:r>
      <w:r>
        <w:rPr>
          <w:rFonts w:ascii="微软雅黑" w:hAnsi="微软雅黑" w:eastAsia="微软雅黑" w:cs="Times New Roman"/>
          <w:color w:val="auto"/>
          <w:sz w:val="22"/>
          <w:szCs w:val="22"/>
        </w:rPr>
        <w:t>万元，支出决算为</w:t>
      </w:r>
      <w:r>
        <w:rPr>
          <w:rFonts w:hint="eastAsia" w:ascii="微软雅黑" w:hAnsi="微软雅黑" w:eastAsia="微软雅黑" w:cs="Times New Roman"/>
          <w:color w:val="auto"/>
          <w:sz w:val="22"/>
          <w:szCs w:val="22"/>
        </w:rPr>
        <w:t>1</w:t>
      </w:r>
      <w:r>
        <w:rPr>
          <w:rFonts w:ascii="微软雅黑" w:hAnsi="微软雅黑" w:eastAsia="微软雅黑" w:cs="Times New Roman"/>
          <w:color w:val="auto"/>
          <w:sz w:val="22"/>
          <w:szCs w:val="22"/>
        </w:rPr>
        <w:t>万元，完成预算的</w:t>
      </w:r>
      <w:r>
        <w:rPr>
          <w:rFonts w:hint="eastAsia" w:ascii="微软雅黑" w:hAnsi="微软雅黑" w:eastAsia="微软雅黑" w:cs="Times New Roman"/>
          <w:color w:val="auto"/>
          <w:sz w:val="22"/>
          <w:szCs w:val="22"/>
        </w:rPr>
        <w:t>100</w:t>
      </w:r>
      <w:r>
        <w:rPr>
          <w:rFonts w:ascii="微软雅黑" w:hAnsi="微软雅黑" w:eastAsia="微软雅黑" w:cs="Times New Roman"/>
          <w:color w:val="auto"/>
          <w:sz w:val="22"/>
          <w:szCs w:val="22"/>
        </w:rPr>
        <w:t>%，与上年相比减少</w:t>
      </w:r>
      <w:r>
        <w:rPr>
          <w:rFonts w:hint="eastAsia" w:ascii="微软雅黑" w:hAnsi="微软雅黑" w:eastAsia="微软雅黑" w:cs="Times New Roman"/>
          <w:color w:val="auto"/>
          <w:sz w:val="22"/>
          <w:szCs w:val="22"/>
        </w:rPr>
        <w:t>0.52</w:t>
      </w:r>
      <w:r>
        <w:rPr>
          <w:rFonts w:ascii="微软雅黑" w:hAnsi="微软雅黑" w:eastAsia="微软雅黑" w:cs="Times New Roman"/>
          <w:color w:val="auto"/>
          <w:sz w:val="22"/>
          <w:szCs w:val="22"/>
        </w:rPr>
        <w:t>万元，</w:t>
      </w:r>
      <w:r>
        <w:rPr>
          <w:rFonts w:hint="eastAsia" w:ascii="微软雅黑" w:hAnsi="微软雅黑" w:eastAsia="微软雅黑" w:cs="Times New Roman"/>
          <w:color w:val="auto"/>
          <w:sz w:val="22"/>
          <w:szCs w:val="22"/>
        </w:rPr>
        <w:t>增加52</w:t>
      </w:r>
      <w:r>
        <w:rPr>
          <w:rFonts w:ascii="微软雅黑" w:hAnsi="微软雅黑" w:eastAsia="微软雅黑" w:cs="Times New Roman"/>
          <w:color w:val="auto"/>
          <w:sz w:val="22"/>
          <w:szCs w:val="22"/>
        </w:rPr>
        <w:t>%,</w:t>
      </w:r>
      <w:r>
        <w:rPr>
          <w:rFonts w:hint="eastAsia" w:ascii="微软雅黑" w:hAnsi="微软雅黑" w:eastAsia="微软雅黑" w:cs="Times New Roman"/>
          <w:color w:val="auto"/>
          <w:sz w:val="22"/>
          <w:szCs w:val="22"/>
        </w:rPr>
        <w:t>增加</w:t>
      </w:r>
      <w:r>
        <w:rPr>
          <w:rFonts w:ascii="微软雅黑" w:hAnsi="微软雅黑" w:eastAsia="微软雅黑" w:cs="Times New Roman"/>
          <w:color w:val="auto"/>
          <w:sz w:val="22"/>
          <w:szCs w:val="22"/>
        </w:rPr>
        <w:t>的主要原因是</w:t>
      </w:r>
      <w:r>
        <w:rPr>
          <w:rFonts w:hint="eastAsia" w:ascii="微软雅黑" w:hAnsi="微软雅黑" w:eastAsia="微软雅黑" w:cs="Times New Roman"/>
          <w:color w:val="auto"/>
          <w:sz w:val="22"/>
          <w:szCs w:val="22"/>
        </w:rPr>
        <w:t>公务接待检查增加</w:t>
      </w:r>
      <w:r>
        <w:rPr>
          <w:rFonts w:ascii="微软雅黑" w:hAnsi="微软雅黑" w:eastAsia="微软雅黑" w:cs="Times New Roman"/>
          <w:color w:val="auto"/>
          <w:sz w:val="22"/>
          <w:szCs w:val="22"/>
        </w:rPr>
        <w:t>。</w:t>
      </w:r>
    </w:p>
    <w:p>
      <w:pPr>
        <w:pStyle w:val="28"/>
        <w:spacing w:line="600" w:lineRule="exact"/>
        <w:ind w:firstLine="440" w:firstLineChars="200"/>
        <w:rPr>
          <w:rFonts w:ascii="微软雅黑" w:hAnsi="微软雅黑" w:eastAsia="微软雅黑" w:cs="Times New Roman"/>
          <w:b/>
          <w:color w:val="auto"/>
          <w:sz w:val="22"/>
          <w:szCs w:val="22"/>
        </w:rPr>
      </w:pPr>
      <w:r>
        <w:rPr>
          <w:rFonts w:hint="eastAsia" w:ascii="微软雅黑" w:hAnsi="微软雅黑" w:eastAsia="微软雅黑" w:cs="Times New Roman"/>
          <w:b/>
          <w:color w:val="auto"/>
          <w:sz w:val="22"/>
          <w:szCs w:val="22"/>
        </w:rPr>
        <w:t>（二）“三公”经费财政拨款支出决算具体情况说明</w:t>
      </w:r>
    </w:p>
    <w:p>
      <w:pPr>
        <w:pStyle w:val="28"/>
        <w:spacing w:line="600" w:lineRule="exact"/>
        <w:ind w:firstLine="440" w:firstLineChars="200"/>
        <w:rPr>
          <w:rFonts w:ascii="微软雅黑" w:hAnsi="微软雅黑" w:eastAsia="微软雅黑" w:cs="Times New Roman"/>
          <w:color w:val="auto"/>
          <w:sz w:val="22"/>
          <w:szCs w:val="22"/>
        </w:rPr>
      </w:pPr>
      <w:r>
        <w:rPr>
          <w:rFonts w:hint="eastAsia" w:ascii="微软雅黑" w:hAnsi="微软雅黑" w:eastAsia="微软雅黑" w:cs="Times New Roman"/>
          <w:color w:val="auto"/>
          <w:sz w:val="22"/>
          <w:szCs w:val="22"/>
        </w:rPr>
        <w:t>2021</w:t>
      </w:r>
      <w:r>
        <w:rPr>
          <w:rFonts w:ascii="微软雅黑" w:hAnsi="微软雅黑" w:eastAsia="微软雅黑" w:cs="Times New Roman"/>
          <w:color w:val="auto"/>
          <w:sz w:val="22"/>
          <w:szCs w:val="22"/>
        </w:rPr>
        <w:t>年度“三公”经费财政拨款支出决算中，公务接待费支出决算</w:t>
      </w:r>
      <w:r>
        <w:rPr>
          <w:rFonts w:hint="eastAsia" w:ascii="微软雅黑" w:hAnsi="微软雅黑" w:eastAsia="微软雅黑" w:cs="Times New Roman"/>
          <w:color w:val="auto"/>
          <w:sz w:val="22"/>
          <w:szCs w:val="22"/>
        </w:rPr>
        <w:t>1</w:t>
      </w:r>
      <w:r>
        <w:rPr>
          <w:rFonts w:ascii="微软雅黑" w:hAnsi="微软雅黑" w:eastAsia="微软雅黑" w:cs="Times New Roman"/>
          <w:color w:val="auto"/>
          <w:sz w:val="22"/>
          <w:szCs w:val="22"/>
        </w:rPr>
        <w:t>万元，占</w:t>
      </w:r>
      <w:r>
        <w:rPr>
          <w:rFonts w:hint="eastAsia" w:ascii="微软雅黑" w:hAnsi="微软雅黑" w:eastAsia="微软雅黑" w:cs="Times New Roman"/>
          <w:color w:val="auto"/>
          <w:sz w:val="22"/>
          <w:szCs w:val="22"/>
        </w:rPr>
        <w:t>100</w:t>
      </w:r>
      <w:r>
        <w:rPr>
          <w:rFonts w:ascii="微软雅黑" w:hAnsi="微软雅黑" w:eastAsia="微软雅黑" w:cs="Times New Roman"/>
          <w:color w:val="auto"/>
          <w:sz w:val="22"/>
          <w:szCs w:val="22"/>
        </w:rPr>
        <w:t xml:space="preserve"> %,因公出国（境）费支出决算</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万元，占</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 xml:space="preserve"> %,公务用车购置费及运行维护费支出决算</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万元，占</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 xml:space="preserve"> %。其中：</w:t>
      </w:r>
    </w:p>
    <w:p>
      <w:pPr>
        <w:pStyle w:val="28"/>
        <w:spacing w:line="600" w:lineRule="exact"/>
        <w:ind w:firstLine="440" w:firstLineChars="200"/>
        <w:rPr>
          <w:rFonts w:ascii="微软雅黑" w:hAnsi="微软雅黑" w:eastAsia="微软雅黑" w:cs="Times New Roman"/>
          <w:color w:val="auto"/>
          <w:sz w:val="22"/>
          <w:szCs w:val="22"/>
        </w:rPr>
      </w:pPr>
      <w:r>
        <w:rPr>
          <w:rFonts w:ascii="微软雅黑" w:hAnsi="微软雅黑" w:eastAsia="微软雅黑" w:cs="Times New Roman"/>
          <w:color w:val="auto"/>
          <w:sz w:val="22"/>
          <w:szCs w:val="22"/>
        </w:rPr>
        <w:t>1、因公出国（境）费支出决算为</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万元，全年安排因公出国（境）团组</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个，累计</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人次</w:t>
      </w:r>
      <w:r>
        <w:rPr>
          <w:rFonts w:hint="eastAsia" w:ascii="微软雅黑" w:hAnsi="微软雅黑" w:eastAsia="微软雅黑" w:cs="Times New Roman"/>
          <w:color w:val="auto"/>
          <w:sz w:val="22"/>
          <w:szCs w:val="22"/>
        </w:rPr>
        <w:t>。</w:t>
      </w:r>
    </w:p>
    <w:p>
      <w:pPr>
        <w:pStyle w:val="28"/>
        <w:spacing w:line="600" w:lineRule="exact"/>
        <w:ind w:firstLine="440" w:firstLineChars="200"/>
        <w:rPr>
          <w:rFonts w:ascii="微软雅黑" w:hAnsi="微软雅黑" w:eastAsia="微软雅黑" w:cs="Times New Roman"/>
          <w:color w:val="auto"/>
          <w:sz w:val="22"/>
          <w:szCs w:val="22"/>
        </w:rPr>
      </w:pPr>
      <w:r>
        <w:rPr>
          <w:rFonts w:ascii="微软雅黑" w:hAnsi="微软雅黑" w:eastAsia="微软雅黑" w:cs="Times New Roman"/>
          <w:color w:val="auto"/>
          <w:sz w:val="22"/>
          <w:szCs w:val="22"/>
        </w:rPr>
        <w:t>2、公务接待费支出决算为</w:t>
      </w:r>
      <w:r>
        <w:rPr>
          <w:rFonts w:hint="eastAsia" w:ascii="微软雅黑" w:hAnsi="微软雅黑" w:eastAsia="微软雅黑" w:cs="Times New Roman"/>
          <w:color w:val="auto"/>
          <w:sz w:val="22"/>
          <w:szCs w:val="22"/>
        </w:rPr>
        <w:t>1</w:t>
      </w:r>
      <w:r>
        <w:rPr>
          <w:rFonts w:ascii="微软雅黑" w:hAnsi="微软雅黑" w:eastAsia="微软雅黑" w:cs="Times New Roman"/>
          <w:color w:val="auto"/>
          <w:sz w:val="22"/>
          <w:szCs w:val="22"/>
        </w:rPr>
        <w:t>万元，全年共接待来访团组</w:t>
      </w:r>
      <w:r>
        <w:rPr>
          <w:rFonts w:hint="eastAsia" w:ascii="微软雅黑" w:hAnsi="微软雅黑" w:eastAsia="微软雅黑" w:cs="Times New Roman"/>
          <w:color w:val="auto"/>
          <w:sz w:val="22"/>
          <w:szCs w:val="22"/>
        </w:rPr>
        <w:t>16</w:t>
      </w:r>
      <w:r>
        <w:rPr>
          <w:rFonts w:ascii="微软雅黑" w:hAnsi="微软雅黑" w:eastAsia="微软雅黑" w:cs="Times New Roman"/>
          <w:color w:val="auto"/>
          <w:sz w:val="22"/>
          <w:szCs w:val="22"/>
        </w:rPr>
        <w:t>个、来宾</w:t>
      </w:r>
      <w:r>
        <w:rPr>
          <w:rFonts w:hint="eastAsia" w:ascii="微软雅黑" w:hAnsi="微软雅黑" w:eastAsia="微软雅黑" w:cs="Times New Roman"/>
          <w:color w:val="auto"/>
          <w:sz w:val="22"/>
          <w:szCs w:val="22"/>
        </w:rPr>
        <w:t>145</w:t>
      </w:r>
      <w:r>
        <w:rPr>
          <w:rFonts w:ascii="微软雅黑" w:hAnsi="微软雅黑" w:eastAsia="微软雅黑" w:cs="Times New Roman"/>
          <w:color w:val="auto"/>
          <w:sz w:val="22"/>
          <w:szCs w:val="22"/>
        </w:rPr>
        <w:t>人次，主要是</w:t>
      </w:r>
      <w:r>
        <w:rPr>
          <w:rFonts w:hint="eastAsia" w:ascii="微软雅黑" w:hAnsi="微软雅黑" w:eastAsia="微软雅黑" w:cs="Times New Roman"/>
          <w:color w:val="auto"/>
          <w:sz w:val="22"/>
          <w:szCs w:val="22"/>
        </w:rPr>
        <w:t>业务交流</w:t>
      </w:r>
      <w:r>
        <w:rPr>
          <w:rFonts w:ascii="微软雅黑" w:hAnsi="微软雅黑" w:eastAsia="微软雅黑" w:cs="Times New Roman"/>
          <w:color w:val="auto"/>
          <w:sz w:val="22"/>
          <w:szCs w:val="22"/>
        </w:rPr>
        <w:t>（活动内容）</w:t>
      </w:r>
      <w:r>
        <w:rPr>
          <w:rFonts w:hint="eastAsia" w:ascii="微软雅黑" w:hAnsi="微软雅黑" w:eastAsia="微软雅黑" w:cs="Times New Roman"/>
          <w:color w:val="auto"/>
          <w:sz w:val="22"/>
          <w:szCs w:val="22"/>
        </w:rPr>
        <w:t>检查</w:t>
      </w:r>
      <w:r>
        <w:rPr>
          <w:rFonts w:ascii="微软雅黑" w:hAnsi="微软雅黑" w:eastAsia="微软雅黑" w:cs="Times New Roman"/>
          <w:color w:val="auto"/>
          <w:sz w:val="22"/>
          <w:szCs w:val="22"/>
        </w:rPr>
        <w:t>发生的接待支出。</w:t>
      </w:r>
    </w:p>
    <w:p>
      <w:pPr>
        <w:spacing w:line="600" w:lineRule="exact"/>
        <w:ind w:firstLine="440" w:firstLineChars="200"/>
        <w:rPr>
          <w:rFonts w:ascii="微软雅黑" w:hAnsi="微软雅黑" w:eastAsia="微软雅黑"/>
          <w:kern w:val="0"/>
          <w:sz w:val="22"/>
        </w:rPr>
      </w:pPr>
      <w:r>
        <w:rPr>
          <w:rFonts w:ascii="微软雅黑" w:hAnsi="微软雅黑" w:eastAsia="微软雅黑"/>
          <w:sz w:val="22"/>
        </w:rPr>
        <w:t>3、公务用车购置费及运行维护费支出决算为</w:t>
      </w:r>
      <w:r>
        <w:rPr>
          <w:rFonts w:hint="eastAsia" w:ascii="微软雅黑" w:hAnsi="微软雅黑" w:eastAsia="微软雅黑"/>
          <w:sz w:val="22"/>
        </w:rPr>
        <w:t>0</w:t>
      </w:r>
      <w:r>
        <w:rPr>
          <w:rFonts w:ascii="微软雅黑" w:hAnsi="微软雅黑" w:eastAsia="微软雅黑"/>
          <w:sz w:val="22"/>
        </w:rPr>
        <w:t>万元，其中：公务用车购置费</w:t>
      </w:r>
      <w:r>
        <w:rPr>
          <w:rFonts w:hint="eastAsia" w:ascii="微软雅黑" w:hAnsi="微软雅黑" w:eastAsia="微软雅黑"/>
          <w:sz w:val="22"/>
        </w:rPr>
        <w:t>0</w:t>
      </w:r>
      <w:r>
        <w:rPr>
          <w:rFonts w:ascii="微软雅黑" w:hAnsi="微软雅黑" w:eastAsia="微软雅黑"/>
          <w:sz w:val="22"/>
        </w:rPr>
        <w:t>万元，（单位本级或某二级机构）更新公务用车</w:t>
      </w:r>
      <w:r>
        <w:rPr>
          <w:rFonts w:hint="eastAsia" w:ascii="微软雅黑" w:hAnsi="微软雅黑" w:eastAsia="微软雅黑"/>
          <w:sz w:val="22"/>
        </w:rPr>
        <w:t>0</w:t>
      </w:r>
      <w:r>
        <w:rPr>
          <w:rFonts w:ascii="微软雅黑" w:hAnsi="微软雅黑" w:eastAsia="微软雅黑"/>
          <w:sz w:val="22"/>
        </w:rPr>
        <w:t>辆。公务用车运行维护费</w:t>
      </w:r>
      <w:r>
        <w:rPr>
          <w:rFonts w:hint="eastAsia" w:ascii="微软雅黑" w:hAnsi="微软雅黑" w:eastAsia="微软雅黑"/>
          <w:sz w:val="22"/>
        </w:rPr>
        <w:t>0</w:t>
      </w:r>
      <w:r>
        <w:rPr>
          <w:rFonts w:ascii="微软雅黑" w:hAnsi="微软雅黑" w:eastAsia="微软雅黑"/>
          <w:sz w:val="22"/>
        </w:rPr>
        <w:t>万元，公务用车保有量为</w:t>
      </w:r>
      <w:r>
        <w:rPr>
          <w:rFonts w:hint="eastAsia" w:ascii="微软雅黑" w:hAnsi="微软雅黑" w:eastAsia="微软雅黑"/>
          <w:sz w:val="22"/>
        </w:rPr>
        <w:t>0</w:t>
      </w:r>
      <w:r>
        <w:rPr>
          <w:rFonts w:ascii="微软雅黑" w:hAnsi="微软雅黑" w:eastAsia="微软雅黑"/>
          <w:sz w:val="22"/>
        </w:rPr>
        <w:t>辆。</w:t>
      </w:r>
      <w:r>
        <w:rPr>
          <w:rFonts w:ascii="微软雅黑" w:hAnsi="微软雅黑" w:eastAsia="微软雅黑"/>
          <w:kern w:val="0"/>
          <w:sz w:val="22"/>
        </w:rPr>
        <w:t>（三公经费支出口径应在专业名词解释中予以说明）</w:t>
      </w:r>
    </w:p>
    <w:p>
      <w:pPr>
        <w:pStyle w:val="28"/>
        <w:spacing w:line="600" w:lineRule="exact"/>
        <w:ind w:firstLine="440" w:firstLineChars="200"/>
        <w:rPr>
          <w:rFonts w:ascii="微软雅黑" w:hAnsi="微软雅黑" w:eastAsia="微软雅黑" w:cs="Times New Roman"/>
          <w:color w:val="auto"/>
          <w:sz w:val="22"/>
          <w:szCs w:val="22"/>
        </w:rPr>
      </w:pPr>
      <w:r>
        <w:rPr>
          <w:rFonts w:ascii="微软雅黑" w:hAnsi="微软雅黑" w:eastAsia="微软雅黑" w:cs="Times New Roman"/>
          <w:color w:val="auto"/>
          <w:sz w:val="22"/>
          <w:szCs w:val="22"/>
        </w:rPr>
        <w:t>八、政府性基金预算收入支出决算情况</w:t>
      </w:r>
    </w:p>
    <w:p>
      <w:pPr>
        <w:pStyle w:val="28"/>
        <w:spacing w:line="600" w:lineRule="exact"/>
        <w:ind w:firstLine="440" w:firstLineChars="200"/>
        <w:rPr>
          <w:rFonts w:ascii="微软雅黑" w:hAnsi="微软雅黑" w:eastAsia="微软雅黑" w:cs="Times New Roman"/>
          <w:color w:val="auto"/>
          <w:sz w:val="22"/>
          <w:szCs w:val="22"/>
        </w:rPr>
      </w:pPr>
      <w:r>
        <w:rPr>
          <w:rFonts w:hint="eastAsia" w:ascii="微软雅黑" w:hAnsi="微软雅黑" w:eastAsia="微软雅黑" w:cs="Times New Roman"/>
          <w:color w:val="auto"/>
          <w:sz w:val="22"/>
          <w:szCs w:val="22"/>
        </w:rPr>
        <w:t>2021</w:t>
      </w:r>
      <w:r>
        <w:rPr>
          <w:rFonts w:ascii="微软雅黑" w:hAnsi="微软雅黑" w:eastAsia="微软雅黑" w:cs="Times New Roman"/>
          <w:color w:val="auto"/>
          <w:sz w:val="22"/>
          <w:szCs w:val="22"/>
        </w:rPr>
        <w:t>年度政府性基金预算财政拨款收入</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万元；年初结转和结余</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万元；支出</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万元，其中基本支出</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万元，项目支出</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万元；年末结转和结余</w:t>
      </w:r>
      <w:r>
        <w:rPr>
          <w:rFonts w:hint="eastAsia" w:ascii="微软雅黑" w:hAnsi="微软雅黑" w:eastAsia="微软雅黑" w:cs="Times New Roman"/>
          <w:color w:val="auto"/>
          <w:sz w:val="22"/>
          <w:szCs w:val="22"/>
        </w:rPr>
        <w:t>0</w:t>
      </w:r>
      <w:r>
        <w:rPr>
          <w:rFonts w:ascii="微软雅黑" w:hAnsi="微软雅黑" w:eastAsia="微软雅黑" w:cs="Times New Roman"/>
          <w:color w:val="auto"/>
          <w:sz w:val="22"/>
          <w:szCs w:val="22"/>
        </w:rPr>
        <w:t>万元。（无政府性基金收支也需要说明：本单位无政府性基金收支）</w:t>
      </w:r>
    </w:p>
    <w:p>
      <w:pPr>
        <w:pStyle w:val="28"/>
        <w:spacing w:line="600" w:lineRule="exact"/>
        <w:ind w:firstLine="440" w:firstLineChars="200"/>
        <w:rPr>
          <w:rFonts w:ascii="微软雅黑" w:hAnsi="微软雅黑" w:eastAsia="微软雅黑" w:cs="Times New Roman"/>
          <w:color w:val="auto"/>
          <w:sz w:val="22"/>
          <w:szCs w:val="22"/>
        </w:rPr>
      </w:pPr>
      <w:r>
        <w:rPr>
          <w:rFonts w:ascii="微软雅黑" w:hAnsi="微软雅黑" w:eastAsia="微软雅黑" w:cs="Times New Roman"/>
          <w:color w:val="auto"/>
          <w:sz w:val="22"/>
          <w:szCs w:val="22"/>
        </w:rPr>
        <w:t>九、关于</w:t>
      </w:r>
      <w:r>
        <w:rPr>
          <w:rFonts w:hint="eastAsia" w:ascii="微软雅黑" w:hAnsi="微软雅黑" w:eastAsia="微软雅黑" w:cs="Times New Roman"/>
          <w:color w:val="auto"/>
          <w:sz w:val="22"/>
          <w:szCs w:val="22"/>
        </w:rPr>
        <w:t>2021</w:t>
      </w:r>
      <w:r>
        <w:rPr>
          <w:rFonts w:ascii="微软雅黑" w:hAnsi="微软雅黑" w:eastAsia="微软雅黑" w:cs="Times New Roman"/>
          <w:color w:val="auto"/>
          <w:sz w:val="22"/>
          <w:szCs w:val="22"/>
        </w:rPr>
        <w:t>年度预算绩效情况说明</w:t>
      </w:r>
    </w:p>
    <w:p>
      <w:pPr>
        <w:pStyle w:val="28"/>
        <w:spacing w:line="600" w:lineRule="exact"/>
        <w:ind w:firstLine="440" w:firstLineChars="200"/>
        <w:rPr>
          <w:rFonts w:ascii="微软雅黑" w:hAnsi="微软雅黑" w:eastAsia="微软雅黑" w:cs="Times New Roman"/>
          <w:color w:val="auto"/>
          <w:sz w:val="22"/>
          <w:szCs w:val="22"/>
        </w:rPr>
      </w:pPr>
      <w:r>
        <w:rPr>
          <w:rFonts w:hint="eastAsia" w:ascii="微软雅黑" w:hAnsi="微软雅黑" w:eastAsia="微软雅黑" w:cs="Times New Roman"/>
          <w:color w:val="auto"/>
          <w:sz w:val="22"/>
          <w:szCs w:val="22"/>
        </w:rPr>
        <w:t>本单位在2021年度的区绩效评估中荣获优秀等次。</w:t>
      </w:r>
    </w:p>
    <w:p>
      <w:pPr>
        <w:pStyle w:val="28"/>
        <w:spacing w:line="600" w:lineRule="exact"/>
        <w:ind w:firstLine="440" w:firstLineChars="200"/>
        <w:rPr>
          <w:rFonts w:ascii="微软雅黑" w:hAnsi="微软雅黑" w:eastAsia="微软雅黑" w:cs="Times New Roman"/>
          <w:color w:val="auto"/>
          <w:sz w:val="22"/>
          <w:szCs w:val="22"/>
        </w:rPr>
      </w:pPr>
      <w:r>
        <w:rPr>
          <w:rFonts w:ascii="微软雅黑" w:hAnsi="微软雅黑" w:eastAsia="微软雅黑" w:cs="Times New Roman"/>
          <w:color w:val="auto"/>
          <w:sz w:val="22"/>
          <w:szCs w:val="22"/>
        </w:rPr>
        <w:t>十、其他重要事项情况说明</w:t>
      </w:r>
    </w:p>
    <w:p>
      <w:pPr>
        <w:spacing w:line="600" w:lineRule="exact"/>
        <w:ind w:firstLine="440" w:firstLineChars="200"/>
        <w:rPr>
          <w:rFonts w:ascii="微软雅黑" w:hAnsi="微软雅黑" w:eastAsia="微软雅黑"/>
          <w:b/>
          <w:kern w:val="0"/>
          <w:sz w:val="22"/>
        </w:rPr>
      </w:pPr>
      <w:r>
        <w:rPr>
          <w:rFonts w:hint="eastAsia" w:ascii="微软雅黑" w:hAnsi="微软雅黑" w:eastAsia="微软雅黑"/>
          <w:b/>
          <w:kern w:val="0"/>
          <w:sz w:val="22"/>
        </w:rPr>
        <w:t>（一）机关运行经费支出情况</w:t>
      </w:r>
    </w:p>
    <w:p>
      <w:pPr>
        <w:spacing w:line="600" w:lineRule="exact"/>
        <w:ind w:firstLine="440" w:firstLineChars="200"/>
        <w:rPr>
          <w:rFonts w:ascii="微软雅黑" w:hAnsi="微软雅黑" w:eastAsia="微软雅黑"/>
          <w:kern w:val="0"/>
          <w:sz w:val="22"/>
        </w:rPr>
      </w:pPr>
      <w:r>
        <w:rPr>
          <w:rFonts w:ascii="微软雅黑" w:hAnsi="微软雅黑" w:eastAsia="微软雅黑"/>
          <w:kern w:val="0"/>
          <w:sz w:val="22"/>
        </w:rPr>
        <w:t>本部门</w:t>
      </w:r>
      <w:r>
        <w:rPr>
          <w:rFonts w:hint="eastAsia" w:ascii="微软雅黑" w:hAnsi="微软雅黑" w:eastAsia="微软雅黑"/>
          <w:kern w:val="0"/>
          <w:sz w:val="22"/>
        </w:rPr>
        <w:t>2021</w:t>
      </w:r>
      <w:r>
        <w:rPr>
          <w:rFonts w:ascii="微软雅黑" w:hAnsi="微软雅黑" w:eastAsia="微软雅黑"/>
          <w:kern w:val="0"/>
          <w:sz w:val="22"/>
        </w:rPr>
        <w:t>年度机关运行经费支出</w:t>
      </w:r>
      <w:r>
        <w:rPr>
          <w:rFonts w:hint="eastAsia" w:ascii="微软雅黑" w:hAnsi="微软雅黑" w:eastAsia="微软雅黑"/>
          <w:sz w:val="22"/>
        </w:rPr>
        <w:t>31.6</w:t>
      </w:r>
      <w:r>
        <w:rPr>
          <w:rFonts w:ascii="微软雅黑" w:hAnsi="微软雅黑" w:eastAsia="微软雅黑"/>
          <w:kern w:val="0"/>
          <w:sz w:val="22"/>
        </w:rPr>
        <w:t>万元（与部门决算中行政单位和参照公务员法管理事业单位一般公共预算财政拨款基本支出中公用经费之和保持衔接），比年初预算数减少</w:t>
      </w:r>
      <w:r>
        <w:rPr>
          <w:rFonts w:hint="eastAsia" w:ascii="微软雅黑" w:hAnsi="微软雅黑" w:eastAsia="微软雅黑"/>
          <w:sz w:val="22"/>
        </w:rPr>
        <w:t>31.6</w:t>
      </w:r>
      <w:r>
        <w:rPr>
          <w:rFonts w:ascii="微软雅黑" w:hAnsi="微软雅黑" w:eastAsia="微软雅黑"/>
          <w:kern w:val="0"/>
          <w:sz w:val="22"/>
        </w:rPr>
        <w:t>万元，</w:t>
      </w:r>
      <w:r>
        <w:rPr>
          <w:rFonts w:hint="eastAsia" w:ascii="微软雅黑" w:hAnsi="微软雅黑" w:eastAsia="微软雅黑"/>
          <w:kern w:val="0"/>
          <w:sz w:val="22"/>
        </w:rPr>
        <w:t>完成100</w:t>
      </w:r>
      <w:r>
        <w:rPr>
          <w:rFonts w:ascii="微软雅黑" w:hAnsi="微软雅黑" w:eastAsia="微软雅黑"/>
          <w:kern w:val="0"/>
          <w:sz w:val="22"/>
        </w:rPr>
        <w:t xml:space="preserve"> %。（具体增减原因由部门根据实际情况填列,机关运行经费支出口径应在专业名词解释中予以说明）</w:t>
      </w:r>
    </w:p>
    <w:p>
      <w:pPr>
        <w:spacing w:line="600" w:lineRule="exact"/>
        <w:ind w:firstLine="440" w:firstLineChars="200"/>
        <w:rPr>
          <w:rFonts w:ascii="微软雅黑" w:hAnsi="微软雅黑" w:eastAsia="微软雅黑"/>
          <w:b/>
          <w:kern w:val="0"/>
          <w:sz w:val="22"/>
        </w:rPr>
      </w:pPr>
      <w:r>
        <w:rPr>
          <w:rFonts w:hint="eastAsia" w:ascii="微软雅黑" w:hAnsi="微软雅黑" w:eastAsia="微软雅黑"/>
          <w:b/>
          <w:kern w:val="0"/>
          <w:sz w:val="22"/>
        </w:rPr>
        <w:t>（二）一般性支出情况</w:t>
      </w:r>
    </w:p>
    <w:p>
      <w:pPr>
        <w:spacing w:line="600" w:lineRule="exact"/>
        <w:ind w:firstLine="440" w:firstLineChars="200"/>
        <w:rPr>
          <w:rFonts w:ascii="微软雅黑" w:hAnsi="微软雅黑" w:eastAsia="微软雅黑"/>
          <w:kern w:val="0"/>
          <w:sz w:val="22"/>
        </w:rPr>
      </w:pPr>
      <w:r>
        <w:rPr>
          <w:rFonts w:hint="eastAsia" w:ascii="微软雅黑" w:hAnsi="微软雅黑" w:eastAsia="微软雅黑"/>
          <w:kern w:val="0"/>
          <w:sz w:val="22"/>
        </w:rPr>
        <w:t>2021</w:t>
      </w:r>
      <w:r>
        <w:rPr>
          <w:rFonts w:ascii="微软雅黑" w:hAnsi="微软雅黑" w:eastAsia="微软雅黑"/>
          <w:kern w:val="0"/>
          <w:sz w:val="22"/>
        </w:rPr>
        <w:t>年本部门开支会议费</w:t>
      </w:r>
      <w:r>
        <w:rPr>
          <w:rFonts w:hint="eastAsia" w:ascii="微软雅黑" w:hAnsi="微软雅黑" w:eastAsia="微软雅黑"/>
          <w:sz w:val="22"/>
        </w:rPr>
        <w:t>0</w:t>
      </w:r>
      <w:r>
        <w:rPr>
          <w:rFonts w:ascii="微软雅黑" w:hAnsi="微软雅黑" w:eastAsia="微软雅黑"/>
          <w:kern w:val="0"/>
          <w:sz w:val="22"/>
        </w:rPr>
        <w:t>万元，人数</w:t>
      </w:r>
      <w:r>
        <w:rPr>
          <w:rFonts w:hint="eastAsia" w:ascii="微软雅黑" w:hAnsi="微软雅黑" w:eastAsia="微软雅黑"/>
          <w:sz w:val="22"/>
        </w:rPr>
        <w:t>0</w:t>
      </w:r>
      <w:r>
        <w:rPr>
          <w:rFonts w:ascii="微软雅黑" w:hAnsi="微软雅黑" w:eastAsia="微软雅黑"/>
          <w:kern w:val="0"/>
          <w:sz w:val="22"/>
        </w:rPr>
        <w:t>人，开支培训费</w:t>
      </w:r>
      <w:r>
        <w:rPr>
          <w:rFonts w:hint="eastAsia" w:ascii="微软雅黑" w:hAnsi="微软雅黑" w:eastAsia="微软雅黑"/>
          <w:sz w:val="22"/>
        </w:rPr>
        <w:t>0</w:t>
      </w:r>
      <w:r>
        <w:rPr>
          <w:rFonts w:ascii="微软雅黑" w:hAnsi="微软雅黑" w:eastAsia="微软雅黑"/>
          <w:kern w:val="0"/>
          <w:sz w:val="22"/>
        </w:rPr>
        <w:t>万元，人数</w:t>
      </w:r>
      <w:r>
        <w:rPr>
          <w:rFonts w:hint="eastAsia" w:ascii="微软雅黑" w:hAnsi="微软雅黑" w:eastAsia="微软雅黑"/>
          <w:sz w:val="22"/>
        </w:rPr>
        <w:t>0</w:t>
      </w:r>
      <w:r>
        <w:rPr>
          <w:rFonts w:ascii="微软雅黑" w:hAnsi="微软雅黑" w:eastAsia="微软雅黑"/>
          <w:kern w:val="0"/>
          <w:sz w:val="22"/>
        </w:rPr>
        <w:t>人，举办等节庆、晚会、论坛、赛事活动，开支</w:t>
      </w:r>
      <w:r>
        <w:rPr>
          <w:rFonts w:hint="eastAsia" w:ascii="微软雅黑" w:hAnsi="微软雅黑" w:eastAsia="微软雅黑"/>
          <w:sz w:val="22"/>
        </w:rPr>
        <w:t>0</w:t>
      </w:r>
      <w:r>
        <w:rPr>
          <w:rFonts w:ascii="微软雅黑" w:hAnsi="微软雅黑" w:eastAsia="微软雅黑"/>
          <w:kern w:val="0"/>
          <w:sz w:val="22"/>
        </w:rPr>
        <w:t>万元，（注：三类会议、培训活动，节庆、晚会、论坛、赛事等活动，请分项列明活动计划及经费预算情况）</w:t>
      </w:r>
    </w:p>
    <w:p>
      <w:pPr>
        <w:spacing w:line="600" w:lineRule="exact"/>
        <w:ind w:firstLine="440" w:firstLineChars="200"/>
        <w:rPr>
          <w:rFonts w:ascii="微软雅黑" w:hAnsi="微软雅黑" w:eastAsia="微软雅黑"/>
          <w:b/>
          <w:kern w:val="0"/>
          <w:sz w:val="22"/>
        </w:rPr>
      </w:pPr>
      <w:r>
        <w:rPr>
          <w:rFonts w:hint="eastAsia" w:ascii="微软雅黑" w:hAnsi="微软雅黑" w:eastAsia="微软雅黑"/>
          <w:b/>
          <w:kern w:val="0"/>
          <w:sz w:val="22"/>
        </w:rPr>
        <w:t>（三）政府采购支出情况</w:t>
      </w:r>
    </w:p>
    <w:p>
      <w:pPr>
        <w:spacing w:line="600" w:lineRule="exact"/>
        <w:ind w:firstLine="440" w:firstLineChars="200"/>
        <w:rPr>
          <w:rFonts w:ascii="微软雅黑" w:hAnsi="微软雅黑" w:eastAsia="微软雅黑"/>
          <w:kern w:val="0"/>
          <w:sz w:val="22"/>
        </w:rPr>
      </w:pPr>
      <w:r>
        <w:rPr>
          <w:rFonts w:ascii="微软雅黑" w:hAnsi="微软雅黑" w:eastAsia="微软雅黑"/>
          <w:kern w:val="0"/>
          <w:sz w:val="22"/>
        </w:rPr>
        <w:t>本部门</w:t>
      </w:r>
      <w:r>
        <w:rPr>
          <w:rFonts w:hint="eastAsia" w:ascii="微软雅黑" w:hAnsi="微软雅黑" w:eastAsia="微软雅黑"/>
          <w:kern w:val="0"/>
          <w:sz w:val="22"/>
        </w:rPr>
        <w:t>2021</w:t>
      </w:r>
      <w:r>
        <w:rPr>
          <w:rFonts w:ascii="微软雅黑" w:hAnsi="微软雅黑" w:eastAsia="微软雅黑"/>
          <w:kern w:val="0"/>
          <w:sz w:val="22"/>
        </w:rPr>
        <w:t>年度政府采购支出总额</w:t>
      </w:r>
      <w:r>
        <w:rPr>
          <w:rFonts w:hint="eastAsia" w:ascii="微软雅黑" w:hAnsi="微软雅黑" w:eastAsia="微软雅黑"/>
          <w:sz w:val="22"/>
        </w:rPr>
        <w:t>0</w:t>
      </w:r>
      <w:r>
        <w:rPr>
          <w:rFonts w:ascii="微软雅黑" w:hAnsi="微软雅黑" w:eastAsia="微软雅黑"/>
          <w:kern w:val="0"/>
          <w:sz w:val="22"/>
        </w:rPr>
        <w:t>万元，其中：政府采购货物支出</w:t>
      </w:r>
      <w:r>
        <w:rPr>
          <w:rFonts w:hint="eastAsia" w:ascii="微软雅黑" w:hAnsi="微软雅黑" w:eastAsia="微软雅黑"/>
          <w:sz w:val="22"/>
        </w:rPr>
        <w:t>0</w:t>
      </w:r>
      <w:r>
        <w:rPr>
          <w:rFonts w:ascii="微软雅黑" w:hAnsi="微软雅黑" w:eastAsia="微软雅黑"/>
          <w:kern w:val="0"/>
          <w:sz w:val="22"/>
        </w:rPr>
        <w:t>万元、政府采购工程支出</w:t>
      </w:r>
      <w:r>
        <w:rPr>
          <w:rFonts w:hint="eastAsia" w:ascii="微软雅黑" w:hAnsi="微软雅黑" w:eastAsia="微软雅黑"/>
          <w:sz w:val="22"/>
        </w:rPr>
        <w:t>0</w:t>
      </w:r>
      <w:r>
        <w:rPr>
          <w:rFonts w:ascii="微软雅黑" w:hAnsi="微软雅黑" w:eastAsia="微软雅黑"/>
          <w:kern w:val="0"/>
          <w:sz w:val="22"/>
        </w:rPr>
        <w:t>万元、政府采购服务支出</w:t>
      </w:r>
      <w:r>
        <w:rPr>
          <w:rFonts w:hint="eastAsia" w:ascii="微软雅黑" w:hAnsi="微软雅黑" w:eastAsia="微软雅黑"/>
          <w:sz w:val="22"/>
        </w:rPr>
        <w:t>0</w:t>
      </w:r>
      <w:r>
        <w:rPr>
          <w:rFonts w:ascii="微软雅黑" w:hAnsi="微软雅黑" w:eastAsia="微软雅黑"/>
          <w:kern w:val="0"/>
          <w:sz w:val="22"/>
        </w:rPr>
        <w:t>万元。授予中小企业合同金额</w:t>
      </w:r>
      <w:r>
        <w:rPr>
          <w:rFonts w:hint="eastAsia" w:ascii="微软雅黑" w:hAnsi="微软雅黑" w:eastAsia="微软雅黑"/>
          <w:sz w:val="22"/>
        </w:rPr>
        <w:t>0</w:t>
      </w:r>
      <w:r>
        <w:rPr>
          <w:rFonts w:ascii="微软雅黑" w:hAnsi="微软雅黑" w:eastAsia="微软雅黑"/>
          <w:kern w:val="0"/>
          <w:sz w:val="22"/>
        </w:rPr>
        <w:t>万元，占政府采购支出总额的</w:t>
      </w:r>
      <w:r>
        <w:rPr>
          <w:rFonts w:hint="eastAsia" w:ascii="微软雅黑" w:hAnsi="微软雅黑" w:eastAsia="微软雅黑"/>
          <w:sz w:val="22"/>
        </w:rPr>
        <w:t>0</w:t>
      </w:r>
      <w:r>
        <w:rPr>
          <w:rFonts w:ascii="微软雅黑" w:hAnsi="微软雅黑" w:eastAsia="微软雅黑"/>
          <w:kern w:val="0"/>
          <w:sz w:val="22"/>
        </w:rPr>
        <w:t xml:space="preserve"> %，其中：授予小微企业合同金额</w:t>
      </w:r>
      <w:r>
        <w:rPr>
          <w:rFonts w:hint="eastAsia" w:ascii="微软雅黑" w:hAnsi="微软雅黑" w:eastAsia="微软雅黑"/>
          <w:sz w:val="22"/>
        </w:rPr>
        <w:t>0</w:t>
      </w:r>
      <w:r>
        <w:rPr>
          <w:rFonts w:ascii="微软雅黑" w:hAnsi="微软雅黑" w:eastAsia="微软雅黑"/>
          <w:kern w:val="0"/>
          <w:sz w:val="22"/>
        </w:rPr>
        <w:t>万元，占政府采购支出总额的</w:t>
      </w:r>
      <w:r>
        <w:rPr>
          <w:rFonts w:hint="eastAsia" w:ascii="微软雅黑" w:hAnsi="微软雅黑" w:eastAsia="微软雅黑"/>
          <w:sz w:val="22"/>
        </w:rPr>
        <w:t>0</w:t>
      </w:r>
      <w:r>
        <w:rPr>
          <w:rFonts w:ascii="微软雅黑" w:hAnsi="微软雅黑" w:eastAsia="微软雅黑"/>
          <w:kern w:val="0"/>
          <w:sz w:val="22"/>
        </w:rPr>
        <w:t xml:space="preserve"> %。</w:t>
      </w:r>
    </w:p>
    <w:p>
      <w:pPr>
        <w:spacing w:line="600" w:lineRule="exact"/>
        <w:ind w:firstLine="440" w:firstLineChars="200"/>
        <w:rPr>
          <w:rFonts w:ascii="微软雅黑" w:hAnsi="微软雅黑" w:eastAsia="微软雅黑"/>
          <w:b/>
          <w:kern w:val="0"/>
          <w:sz w:val="22"/>
        </w:rPr>
      </w:pPr>
      <w:r>
        <w:rPr>
          <w:rFonts w:hint="eastAsia" w:ascii="微软雅黑" w:hAnsi="微软雅黑" w:eastAsia="微软雅黑"/>
          <w:b/>
          <w:kern w:val="0"/>
          <w:sz w:val="22"/>
        </w:rPr>
        <w:t>（四）国有资产占用情况</w:t>
      </w:r>
    </w:p>
    <w:p>
      <w:pPr>
        <w:spacing w:line="600" w:lineRule="exact"/>
        <w:ind w:firstLine="440" w:firstLineChars="200"/>
        <w:rPr>
          <w:rFonts w:ascii="微软雅黑" w:hAnsi="微软雅黑" w:eastAsia="微软雅黑"/>
          <w:sz w:val="22"/>
        </w:rPr>
      </w:pPr>
      <w:r>
        <w:rPr>
          <w:rFonts w:ascii="微软雅黑" w:hAnsi="微软雅黑" w:eastAsia="微软雅黑"/>
          <w:kern w:val="0"/>
          <w:sz w:val="22"/>
        </w:rPr>
        <w:t>截至</w:t>
      </w:r>
      <w:r>
        <w:rPr>
          <w:rFonts w:hint="eastAsia" w:ascii="微软雅黑" w:hAnsi="微软雅黑" w:eastAsia="微软雅黑"/>
          <w:kern w:val="0"/>
          <w:sz w:val="22"/>
        </w:rPr>
        <w:t>2021</w:t>
      </w:r>
      <w:r>
        <w:rPr>
          <w:rFonts w:ascii="微软雅黑" w:hAnsi="微软雅黑" w:eastAsia="微软雅黑"/>
          <w:kern w:val="0"/>
          <w:sz w:val="22"/>
        </w:rPr>
        <w:t>年12月31日，本单位共有车辆</w:t>
      </w:r>
      <w:r>
        <w:rPr>
          <w:rFonts w:hint="eastAsia" w:ascii="微软雅黑" w:hAnsi="微软雅黑" w:eastAsia="微软雅黑"/>
          <w:sz w:val="22"/>
        </w:rPr>
        <w:t>0</w:t>
      </w:r>
      <w:r>
        <w:rPr>
          <w:rFonts w:ascii="微软雅黑" w:hAnsi="微软雅黑" w:eastAsia="微软雅黑"/>
          <w:kern w:val="0"/>
          <w:sz w:val="22"/>
        </w:rPr>
        <w:t>辆，其中，领导干部用车</w:t>
      </w:r>
      <w:r>
        <w:rPr>
          <w:rFonts w:hint="eastAsia" w:ascii="微软雅黑" w:hAnsi="微软雅黑" w:eastAsia="微软雅黑"/>
          <w:sz w:val="22"/>
        </w:rPr>
        <w:t>0</w:t>
      </w:r>
      <w:r>
        <w:rPr>
          <w:rFonts w:ascii="微软雅黑" w:hAnsi="微软雅黑" w:eastAsia="微软雅黑"/>
          <w:kern w:val="0"/>
          <w:sz w:val="22"/>
        </w:rPr>
        <w:t>辆、机要通信用车</w:t>
      </w:r>
      <w:r>
        <w:rPr>
          <w:rFonts w:hint="eastAsia" w:ascii="微软雅黑" w:hAnsi="微软雅黑" w:eastAsia="微软雅黑"/>
          <w:sz w:val="22"/>
        </w:rPr>
        <w:t>0</w:t>
      </w:r>
      <w:r>
        <w:rPr>
          <w:rFonts w:ascii="微软雅黑" w:hAnsi="微软雅黑" w:eastAsia="微软雅黑"/>
          <w:kern w:val="0"/>
          <w:sz w:val="22"/>
        </w:rPr>
        <w:t>辆、应急保障用车</w:t>
      </w:r>
      <w:r>
        <w:rPr>
          <w:rFonts w:hint="eastAsia" w:ascii="微软雅黑" w:hAnsi="微软雅黑" w:eastAsia="微软雅黑"/>
          <w:sz w:val="22"/>
        </w:rPr>
        <w:t>0</w:t>
      </w:r>
      <w:r>
        <w:rPr>
          <w:rFonts w:ascii="微软雅黑" w:hAnsi="微软雅黑" w:eastAsia="微软雅黑"/>
          <w:kern w:val="0"/>
          <w:sz w:val="22"/>
        </w:rPr>
        <w:t>辆、执法执勤用车</w:t>
      </w:r>
      <w:r>
        <w:rPr>
          <w:rFonts w:hint="eastAsia" w:ascii="微软雅黑" w:hAnsi="微软雅黑" w:eastAsia="微软雅黑"/>
          <w:sz w:val="22"/>
        </w:rPr>
        <w:t>0</w:t>
      </w:r>
      <w:r>
        <w:rPr>
          <w:rFonts w:ascii="微软雅黑" w:hAnsi="微软雅黑" w:eastAsia="微软雅黑"/>
          <w:kern w:val="0"/>
          <w:sz w:val="22"/>
        </w:rPr>
        <w:t>辆、特种专业技术用车</w:t>
      </w:r>
      <w:r>
        <w:rPr>
          <w:rFonts w:hint="eastAsia" w:ascii="微软雅黑" w:hAnsi="微软雅黑" w:eastAsia="微软雅黑"/>
          <w:sz w:val="22"/>
        </w:rPr>
        <w:t>0</w:t>
      </w:r>
      <w:r>
        <w:rPr>
          <w:rFonts w:ascii="微软雅黑" w:hAnsi="微软雅黑" w:eastAsia="微软雅黑"/>
          <w:kern w:val="0"/>
          <w:sz w:val="22"/>
        </w:rPr>
        <w:t>辆、其他用车</w:t>
      </w:r>
      <w:r>
        <w:rPr>
          <w:rFonts w:hint="eastAsia" w:ascii="微软雅黑" w:hAnsi="微软雅黑" w:eastAsia="微软雅黑"/>
          <w:sz w:val="22"/>
        </w:rPr>
        <w:t>0</w:t>
      </w:r>
      <w:r>
        <w:rPr>
          <w:rFonts w:ascii="微软雅黑" w:hAnsi="微软雅黑" w:eastAsia="微软雅黑"/>
          <w:kern w:val="0"/>
          <w:sz w:val="22"/>
        </w:rPr>
        <w:t>辆；单位价值50万元以上通用设备</w:t>
      </w:r>
      <w:r>
        <w:rPr>
          <w:rFonts w:hint="eastAsia" w:ascii="微软雅黑" w:hAnsi="微软雅黑" w:eastAsia="微软雅黑"/>
          <w:sz w:val="22"/>
        </w:rPr>
        <w:t>0</w:t>
      </w:r>
      <w:r>
        <w:rPr>
          <w:rFonts w:ascii="微软雅黑" w:hAnsi="微软雅黑" w:eastAsia="微软雅黑"/>
          <w:kern w:val="0"/>
          <w:sz w:val="22"/>
        </w:rPr>
        <w:t>台（套）；单位价值100万元以上专用设备</w:t>
      </w:r>
      <w:r>
        <w:rPr>
          <w:rFonts w:hint="eastAsia" w:ascii="微软雅黑" w:hAnsi="微软雅黑" w:eastAsia="微软雅黑"/>
          <w:sz w:val="22"/>
        </w:rPr>
        <w:t>0</w:t>
      </w:r>
      <w:r>
        <w:rPr>
          <w:rFonts w:ascii="微软雅黑" w:hAnsi="微软雅黑" w:eastAsia="微软雅黑"/>
          <w:kern w:val="0"/>
          <w:sz w:val="22"/>
        </w:rPr>
        <w:t>台（套）。</w:t>
      </w:r>
    </w:p>
    <w:p>
      <w:pPr>
        <w:widowControl/>
        <w:spacing w:line="600" w:lineRule="exact"/>
        <w:rPr>
          <w:rFonts w:ascii="微软雅黑" w:hAnsi="微软雅黑" w:eastAsia="微软雅黑"/>
          <w:bCs/>
          <w:kern w:val="0"/>
          <w:sz w:val="22"/>
        </w:rPr>
      </w:pPr>
    </w:p>
    <w:p>
      <w:pPr>
        <w:widowControl/>
        <w:spacing w:line="600" w:lineRule="exact"/>
        <w:jc w:val="center"/>
        <w:rPr>
          <w:rFonts w:hint="eastAsia" w:ascii="微软雅黑" w:hAnsi="微软雅黑" w:eastAsia="微软雅黑"/>
          <w:bCs/>
          <w:kern w:val="0"/>
          <w:sz w:val="22"/>
        </w:rPr>
      </w:pPr>
    </w:p>
    <w:p>
      <w:pPr>
        <w:widowControl/>
        <w:spacing w:line="600" w:lineRule="exact"/>
        <w:jc w:val="center"/>
        <w:rPr>
          <w:rFonts w:hint="eastAsia" w:ascii="微软雅黑" w:hAnsi="微软雅黑" w:eastAsia="微软雅黑"/>
          <w:bCs/>
          <w:kern w:val="0"/>
          <w:sz w:val="22"/>
        </w:rPr>
      </w:pPr>
    </w:p>
    <w:p>
      <w:pPr>
        <w:widowControl/>
        <w:spacing w:line="600" w:lineRule="exact"/>
        <w:jc w:val="center"/>
        <w:rPr>
          <w:rFonts w:hint="eastAsia" w:ascii="微软雅黑" w:hAnsi="微软雅黑" w:eastAsia="微软雅黑"/>
          <w:bCs/>
          <w:kern w:val="0"/>
          <w:sz w:val="22"/>
        </w:rPr>
      </w:pPr>
    </w:p>
    <w:p>
      <w:pPr>
        <w:widowControl/>
        <w:spacing w:line="600" w:lineRule="exact"/>
        <w:jc w:val="center"/>
        <w:rPr>
          <w:rFonts w:hint="eastAsia" w:ascii="微软雅黑" w:hAnsi="微软雅黑" w:eastAsia="微软雅黑"/>
          <w:bCs/>
          <w:kern w:val="0"/>
          <w:sz w:val="22"/>
        </w:rPr>
      </w:pPr>
    </w:p>
    <w:p>
      <w:pPr>
        <w:widowControl/>
        <w:spacing w:line="600" w:lineRule="exact"/>
        <w:jc w:val="center"/>
        <w:rPr>
          <w:rFonts w:hint="eastAsia" w:ascii="微软雅黑" w:hAnsi="微软雅黑" w:eastAsia="微软雅黑"/>
          <w:bCs/>
          <w:kern w:val="0"/>
          <w:sz w:val="22"/>
        </w:rPr>
      </w:pPr>
    </w:p>
    <w:p>
      <w:pPr>
        <w:widowControl/>
        <w:spacing w:line="600" w:lineRule="exact"/>
        <w:jc w:val="center"/>
        <w:rPr>
          <w:rFonts w:hint="eastAsia" w:ascii="微软雅黑" w:hAnsi="微软雅黑" w:eastAsia="微软雅黑"/>
          <w:bCs/>
          <w:kern w:val="0"/>
          <w:sz w:val="22"/>
        </w:rPr>
      </w:pPr>
    </w:p>
    <w:p>
      <w:pPr>
        <w:widowControl/>
        <w:spacing w:line="600" w:lineRule="exact"/>
        <w:jc w:val="center"/>
        <w:rPr>
          <w:rFonts w:hint="eastAsia" w:ascii="微软雅黑" w:hAnsi="微软雅黑" w:eastAsia="微软雅黑"/>
          <w:bCs/>
          <w:kern w:val="0"/>
          <w:sz w:val="22"/>
        </w:rPr>
      </w:pPr>
    </w:p>
    <w:p>
      <w:pPr>
        <w:widowControl/>
        <w:spacing w:line="600" w:lineRule="exact"/>
        <w:jc w:val="center"/>
        <w:rPr>
          <w:rFonts w:hint="eastAsia" w:ascii="微软雅黑" w:hAnsi="微软雅黑" w:eastAsia="微软雅黑"/>
          <w:bCs/>
          <w:kern w:val="0"/>
          <w:sz w:val="22"/>
        </w:rPr>
      </w:pPr>
    </w:p>
    <w:p>
      <w:pPr>
        <w:widowControl/>
        <w:spacing w:line="600" w:lineRule="exact"/>
        <w:jc w:val="center"/>
        <w:rPr>
          <w:rFonts w:hint="eastAsia" w:ascii="微软雅黑" w:hAnsi="微软雅黑" w:eastAsia="微软雅黑"/>
          <w:bCs/>
          <w:kern w:val="0"/>
          <w:sz w:val="22"/>
        </w:rPr>
      </w:pPr>
    </w:p>
    <w:p>
      <w:pPr>
        <w:widowControl/>
        <w:spacing w:line="600" w:lineRule="exact"/>
        <w:jc w:val="center"/>
        <w:rPr>
          <w:rFonts w:hint="eastAsia" w:ascii="微软雅黑" w:hAnsi="微软雅黑" w:eastAsia="微软雅黑"/>
          <w:bCs/>
          <w:kern w:val="0"/>
          <w:sz w:val="22"/>
        </w:rPr>
      </w:pPr>
    </w:p>
    <w:p>
      <w:pPr>
        <w:widowControl/>
        <w:spacing w:line="600" w:lineRule="exact"/>
        <w:jc w:val="center"/>
        <w:rPr>
          <w:rFonts w:hint="eastAsia" w:ascii="微软雅黑" w:hAnsi="微软雅黑" w:eastAsia="微软雅黑"/>
          <w:bCs/>
          <w:kern w:val="0"/>
          <w:sz w:val="22"/>
        </w:rPr>
      </w:pPr>
    </w:p>
    <w:p>
      <w:pPr>
        <w:widowControl/>
        <w:spacing w:line="600" w:lineRule="exact"/>
        <w:jc w:val="center"/>
        <w:rPr>
          <w:rFonts w:ascii="微软雅黑" w:hAnsi="微软雅黑" w:eastAsia="微软雅黑"/>
          <w:bCs/>
          <w:kern w:val="0"/>
          <w:sz w:val="22"/>
        </w:rPr>
      </w:pPr>
      <w:r>
        <w:rPr>
          <w:rFonts w:hint="eastAsia" w:ascii="微软雅黑" w:hAnsi="微软雅黑" w:eastAsia="微软雅黑"/>
          <w:bCs/>
          <w:kern w:val="0"/>
          <w:sz w:val="22"/>
        </w:rPr>
        <w:t>第四部分 名词解释</w:t>
      </w:r>
    </w:p>
    <w:p>
      <w:pPr>
        <w:widowControl/>
        <w:spacing w:line="600" w:lineRule="exact"/>
        <w:jc w:val="left"/>
        <w:rPr>
          <w:rFonts w:ascii="微软雅黑" w:hAnsi="微软雅黑" w:eastAsia="微软雅黑"/>
          <w:b/>
          <w:bCs/>
          <w:kern w:val="0"/>
          <w:sz w:val="22"/>
        </w:rPr>
      </w:pPr>
    </w:p>
    <w:p>
      <w:pPr>
        <w:widowControl/>
        <w:spacing w:line="600" w:lineRule="exact"/>
        <w:jc w:val="left"/>
        <w:rPr>
          <w:rFonts w:ascii="微软雅黑" w:hAnsi="微软雅黑" w:eastAsia="微软雅黑"/>
          <w:kern w:val="0"/>
          <w:sz w:val="22"/>
        </w:rPr>
      </w:pPr>
      <w:r>
        <w:rPr>
          <w:rFonts w:hint="eastAsia" w:ascii="微软雅黑" w:hAnsi="微软雅黑" w:eastAsia="微软雅黑"/>
          <w:b/>
          <w:bCs/>
          <w:kern w:val="0"/>
          <w:sz w:val="22"/>
        </w:rPr>
        <w:t>财政拨款收入：</w:t>
      </w:r>
      <w:r>
        <w:rPr>
          <w:rFonts w:hint="eastAsia" w:ascii="微软雅黑" w:hAnsi="微软雅黑" w:eastAsia="微软雅黑"/>
          <w:kern w:val="0"/>
          <w:sz w:val="22"/>
        </w:rPr>
        <w:t>对纳入预算管理的行政、事业单位、社会团体等拨付财政资金。</w:t>
      </w:r>
    </w:p>
    <w:p>
      <w:pPr>
        <w:widowControl/>
        <w:spacing w:line="600" w:lineRule="exact"/>
        <w:jc w:val="left"/>
        <w:rPr>
          <w:rFonts w:ascii="微软雅黑" w:hAnsi="微软雅黑" w:eastAsia="微软雅黑"/>
          <w:kern w:val="0"/>
          <w:sz w:val="22"/>
        </w:rPr>
      </w:pPr>
      <w:r>
        <w:rPr>
          <w:rFonts w:hint="eastAsia" w:ascii="微软雅黑" w:hAnsi="微软雅黑" w:eastAsia="微软雅黑"/>
          <w:b/>
          <w:bCs/>
          <w:kern w:val="0"/>
          <w:sz w:val="22"/>
        </w:rPr>
        <w:t>事业收入：</w:t>
      </w:r>
      <w:r>
        <w:rPr>
          <w:rFonts w:hint="eastAsia" w:ascii="微软雅黑" w:hAnsi="微软雅黑" w:eastAsia="微软雅黑"/>
          <w:kern w:val="0"/>
          <w:sz w:val="22"/>
        </w:rPr>
        <w:t>中央和地方各部门所属事业单位的业务收入上缴国家预算的资金。</w:t>
      </w:r>
    </w:p>
    <w:p>
      <w:pPr>
        <w:widowControl/>
        <w:spacing w:line="600" w:lineRule="exact"/>
        <w:jc w:val="left"/>
        <w:rPr>
          <w:rFonts w:ascii="微软雅黑" w:hAnsi="微软雅黑" w:eastAsia="微软雅黑"/>
          <w:kern w:val="0"/>
          <w:sz w:val="22"/>
        </w:rPr>
      </w:pPr>
      <w:r>
        <w:rPr>
          <w:rFonts w:hint="eastAsia" w:ascii="微软雅黑" w:hAnsi="微软雅黑" w:eastAsia="微软雅黑"/>
          <w:b/>
          <w:bCs/>
          <w:kern w:val="0"/>
          <w:sz w:val="22"/>
        </w:rPr>
        <w:t>其他收入：</w:t>
      </w:r>
      <w:r>
        <w:rPr>
          <w:rFonts w:hint="eastAsia" w:ascii="微软雅黑" w:hAnsi="微软雅黑" w:eastAsia="微软雅黑"/>
          <w:kern w:val="0"/>
          <w:sz w:val="22"/>
        </w:rPr>
        <w:t>单位取得的除财政补助收入、上级补助收入、拨入专款、事业收入、经费收入、附属单位缴款以外的各项收入。</w:t>
      </w:r>
    </w:p>
    <w:p>
      <w:pPr>
        <w:widowControl/>
        <w:spacing w:line="600" w:lineRule="exact"/>
        <w:jc w:val="left"/>
        <w:rPr>
          <w:rFonts w:ascii="微软雅黑" w:hAnsi="微软雅黑" w:eastAsia="微软雅黑"/>
          <w:kern w:val="0"/>
          <w:sz w:val="22"/>
        </w:rPr>
      </w:pPr>
      <w:r>
        <w:rPr>
          <w:rFonts w:hint="eastAsia" w:ascii="微软雅黑" w:hAnsi="微软雅黑" w:eastAsia="微软雅黑"/>
          <w:b/>
          <w:bCs/>
          <w:kern w:val="0"/>
          <w:sz w:val="22"/>
        </w:rPr>
        <w:t>年初结转和结余：</w:t>
      </w:r>
      <w:r>
        <w:rPr>
          <w:rFonts w:hint="eastAsia" w:ascii="微软雅黑" w:hAnsi="微软雅黑" w:eastAsia="微软雅黑"/>
          <w:kern w:val="0"/>
          <w:sz w:val="22"/>
        </w:rPr>
        <w:t>指以前年度尚未完成、结转到本年按有关规定继续使用的资金。</w:t>
      </w:r>
    </w:p>
    <w:p>
      <w:pPr>
        <w:widowControl/>
        <w:spacing w:line="600" w:lineRule="exact"/>
        <w:jc w:val="left"/>
        <w:rPr>
          <w:rFonts w:ascii="微软雅黑" w:hAnsi="微软雅黑" w:eastAsia="微软雅黑"/>
          <w:kern w:val="0"/>
          <w:sz w:val="22"/>
        </w:rPr>
      </w:pPr>
      <w:r>
        <w:rPr>
          <w:rFonts w:hint="eastAsia" w:ascii="微软雅黑" w:hAnsi="微软雅黑" w:eastAsia="微软雅黑"/>
          <w:b/>
          <w:bCs/>
          <w:kern w:val="0"/>
          <w:sz w:val="22"/>
        </w:rPr>
        <w:t>年未结转和结余</w:t>
      </w:r>
      <w:r>
        <w:rPr>
          <w:rFonts w:hint="eastAsia" w:ascii="微软雅黑" w:hAnsi="微软雅黑" w:eastAsia="微软雅黑"/>
          <w:kern w:val="0"/>
          <w:sz w:val="22"/>
        </w:rPr>
        <w:t>：指单位按有关规定结转到下年或以后年度继续使用的资金。</w:t>
      </w:r>
    </w:p>
    <w:p>
      <w:pPr>
        <w:widowControl/>
        <w:spacing w:line="600" w:lineRule="exact"/>
        <w:jc w:val="left"/>
        <w:rPr>
          <w:rFonts w:ascii="微软雅黑" w:hAnsi="微软雅黑" w:eastAsia="微软雅黑"/>
          <w:b/>
          <w:bCs/>
          <w:kern w:val="0"/>
          <w:sz w:val="22"/>
        </w:rPr>
      </w:pPr>
      <w:r>
        <w:rPr>
          <w:rFonts w:hint="eastAsia" w:ascii="微软雅黑" w:hAnsi="微软雅黑" w:eastAsia="微软雅黑"/>
          <w:b/>
          <w:bCs/>
          <w:kern w:val="0"/>
          <w:sz w:val="22"/>
        </w:rPr>
        <w:t>基本支出：</w:t>
      </w:r>
      <w:r>
        <w:rPr>
          <w:rFonts w:hint="eastAsia" w:ascii="微软雅黑" w:hAnsi="微软雅黑" w:eastAsia="微软雅黑"/>
          <w:kern w:val="0"/>
          <w:sz w:val="22"/>
        </w:rPr>
        <w:t>行政事业单位为保障其机构正常运转、完成日常工作任务而编制的年度基本支出计划，内容包括人员经费和日常公用经费两部分。</w:t>
      </w:r>
    </w:p>
    <w:p>
      <w:pPr>
        <w:widowControl/>
        <w:spacing w:line="600" w:lineRule="exact"/>
        <w:jc w:val="left"/>
        <w:rPr>
          <w:rFonts w:ascii="微软雅黑" w:hAnsi="微软雅黑" w:eastAsia="微软雅黑"/>
          <w:kern w:val="0"/>
          <w:sz w:val="22"/>
        </w:rPr>
      </w:pPr>
      <w:r>
        <w:rPr>
          <w:rFonts w:hint="eastAsia" w:ascii="微软雅黑" w:hAnsi="微软雅黑" w:eastAsia="微软雅黑"/>
          <w:b/>
          <w:bCs/>
          <w:kern w:val="0"/>
          <w:sz w:val="22"/>
        </w:rPr>
        <w:t>项目支出：</w:t>
      </w:r>
      <w:r>
        <w:rPr>
          <w:rFonts w:hint="eastAsia" w:ascii="微软雅黑" w:hAnsi="微软雅黑" w:eastAsia="微软雅黑"/>
          <w:kern w:val="0"/>
          <w:sz w:val="22"/>
        </w:rPr>
        <w:t>行政事业单位为完成特定的工作任务或事业发展目标，在基本的预算支出以外，财政预算专款安排的支出。</w:t>
      </w:r>
    </w:p>
    <w:p>
      <w:pPr>
        <w:widowControl/>
        <w:spacing w:line="600" w:lineRule="exact"/>
        <w:rPr>
          <w:rFonts w:ascii="微软雅黑" w:hAnsi="微软雅黑" w:eastAsia="微软雅黑"/>
          <w:bCs/>
          <w:kern w:val="0"/>
          <w:sz w:val="22"/>
          <w:highlight w:val="cyan"/>
        </w:rPr>
      </w:pPr>
      <w:r>
        <w:rPr>
          <w:rFonts w:ascii="微软雅黑" w:hAnsi="微软雅黑" w:eastAsia="微软雅黑"/>
          <w:bCs/>
          <w:kern w:val="0"/>
          <w:sz w:val="22"/>
        </w:rPr>
        <w:br w:type="page"/>
      </w:r>
      <w:r>
        <w:rPr>
          <w:rFonts w:hint="eastAsia" w:ascii="微软雅黑" w:hAnsi="微软雅黑" w:eastAsia="微软雅黑"/>
          <w:bCs/>
          <w:kern w:val="0"/>
          <w:sz w:val="22"/>
          <w:highlight w:val="none"/>
        </w:rPr>
        <w:t>第五部分 附件</w:t>
      </w:r>
    </w:p>
    <w:p>
      <w:pPr>
        <w:jc w:val="center"/>
        <w:rPr>
          <w:rFonts w:ascii="微软雅黑" w:hAnsi="微软雅黑" w:eastAsia="微软雅黑" w:cs="黑体"/>
          <w:color w:val="000000"/>
          <w:kern w:val="0"/>
          <w:sz w:val="22"/>
        </w:rPr>
      </w:pPr>
      <w:r>
        <w:rPr>
          <w:rFonts w:hint="eastAsia" w:ascii="微软雅黑" w:hAnsi="微软雅黑" w:eastAsia="微软雅黑" w:cs="黑体"/>
          <w:color w:val="000000"/>
          <w:kern w:val="0"/>
          <w:sz w:val="22"/>
        </w:rPr>
        <w:t>2021年度部门整体支出绩效评价报告</w:t>
      </w:r>
    </w:p>
    <w:p>
      <w:pPr>
        <w:spacing w:line="560" w:lineRule="exact"/>
        <w:ind w:firstLine="440" w:firstLineChars="200"/>
        <w:rPr>
          <w:rFonts w:ascii="微软雅黑" w:hAnsi="微软雅黑" w:eastAsia="微软雅黑" w:cs="仿宋"/>
          <w:sz w:val="22"/>
        </w:rPr>
      </w:pPr>
    </w:p>
    <w:p>
      <w:pPr>
        <w:spacing w:line="600" w:lineRule="exact"/>
        <w:ind w:firstLine="440" w:firstLineChars="200"/>
        <w:rPr>
          <w:rFonts w:ascii="微软雅黑" w:hAnsi="微软雅黑" w:eastAsia="微软雅黑" w:cs="仿宋"/>
          <w:sz w:val="22"/>
        </w:rPr>
      </w:pPr>
      <w:r>
        <w:rPr>
          <w:rFonts w:hint="eastAsia" w:ascii="微软雅黑" w:hAnsi="微软雅黑" w:eastAsia="微软雅黑" w:cs="仿宋"/>
          <w:sz w:val="22"/>
        </w:rPr>
        <w:t>一、基本情况</w:t>
      </w:r>
    </w:p>
    <w:p>
      <w:pPr>
        <w:spacing w:line="600" w:lineRule="exact"/>
        <w:ind w:firstLine="440" w:firstLineChars="200"/>
        <w:rPr>
          <w:rFonts w:ascii="微软雅黑" w:hAnsi="微软雅黑" w:eastAsia="微软雅黑" w:cs="仿宋"/>
          <w:sz w:val="22"/>
        </w:rPr>
      </w:pPr>
      <w:r>
        <w:rPr>
          <w:rFonts w:hint="eastAsia" w:ascii="微软雅黑" w:hAnsi="微软雅黑" w:eastAsia="微软雅黑" w:cs="仿宋"/>
          <w:sz w:val="22"/>
        </w:rPr>
        <w:t>（一）部门（单位）基本情况</w:t>
      </w:r>
    </w:p>
    <w:p>
      <w:pPr>
        <w:spacing w:line="600" w:lineRule="exact"/>
        <w:ind w:firstLine="440" w:firstLineChars="200"/>
        <w:rPr>
          <w:rFonts w:ascii="微软雅黑" w:hAnsi="微软雅黑" w:eastAsia="微软雅黑" w:cs="仿宋"/>
          <w:sz w:val="22"/>
        </w:rPr>
      </w:pPr>
      <w:r>
        <w:rPr>
          <w:rFonts w:hint="eastAsia" w:ascii="微软雅黑" w:hAnsi="微软雅黑" w:eastAsia="微软雅黑" w:cs="仿宋"/>
          <w:sz w:val="22"/>
        </w:rPr>
        <w:t>回龙圩经作办作为全区经作水果的主管部门，主要有以下职责：</w:t>
      </w:r>
    </w:p>
    <w:p>
      <w:pPr>
        <w:spacing w:line="600" w:lineRule="exact"/>
        <w:ind w:firstLine="440" w:firstLineChars="200"/>
        <w:rPr>
          <w:rFonts w:ascii="微软雅黑" w:hAnsi="微软雅黑" w:eastAsia="微软雅黑" w:cs="仿宋"/>
          <w:sz w:val="22"/>
        </w:rPr>
      </w:pPr>
      <w:r>
        <w:rPr>
          <w:rFonts w:hint="eastAsia" w:ascii="微软雅黑" w:hAnsi="微软雅黑" w:eastAsia="微软雅黑" w:cs="仿宋"/>
          <w:sz w:val="22"/>
        </w:rPr>
        <w:t>1.做好产业发展中长期规划；负责拟定实施方案并组织实施；研究制订管理区柑橘果树等作物结构优化调整规划、标准化规程、示范及基地建设规划。</w:t>
      </w:r>
    </w:p>
    <w:p>
      <w:pPr>
        <w:spacing w:line="600" w:lineRule="exact"/>
        <w:ind w:firstLine="440" w:firstLineChars="200"/>
        <w:rPr>
          <w:rFonts w:ascii="微软雅黑" w:hAnsi="微软雅黑" w:eastAsia="微软雅黑" w:cs="仿宋"/>
          <w:sz w:val="22"/>
        </w:rPr>
      </w:pPr>
      <w:r>
        <w:rPr>
          <w:rFonts w:hint="eastAsia" w:ascii="微软雅黑" w:hAnsi="微软雅黑" w:eastAsia="微软雅黑" w:cs="仿宋"/>
          <w:sz w:val="22"/>
        </w:rPr>
        <w:t>2.负责本办公室相关项目的编制、申报和组织实施；组织实施管理区柑橘果树等作物新品种引试筛选和新技术的研究及引进、试验、示范、推广。</w:t>
      </w:r>
    </w:p>
    <w:p>
      <w:pPr>
        <w:spacing w:line="600" w:lineRule="exact"/>
        <w:ind w:firstLine="440" w:firstLineChars="200"/>
        <w:rPr>
          <w:rFonts w:ascii="微软雅黑" w:hAnsi="微软雅黑" w:eastAsia="微软雅黑" w:cs="仿宋"/>
          <w:sz w:val="22"/>
        </w:rPr>
      </w:pPr>
      <w:r>
        <w:rPr>
          <w:rFonts w:hint="eastAsia" w:ascii="微软雅黑" w:hAnsi="微软雅黑" w:eastAsia="微软雅黑" w:cs="仿宋"/>
          <w:sz w:val="22"/>
        </w:rPr>
        <w:t>3.负责上下单位对口衔接，组织实施上级单位安排的计划，检查指导下级单位的完成情况；负责完成中央、省、市、县（区）相关协作攻关课题；负责高产创建、农民技术培训和科技咨询工作。</w:t>
      </w:r>
    </w:p>
    <w:p>
      <w:pPr>
        <w:spacing w:line="600" w:lineRule="exact"/>
        <w:ind w:firstLine="440" w:firstLineChars="200"/>
        <w:rPr>
          <w:rFonts w:ascii="微软雅黑" w:hAnsi="微软雅黑" w:eastAsia="微软雅黑" w:cs="仿宋"/>
          <w:sz w:val="22"/>
        </w:rPr>
      </w:pPr>
      <w:r>
        <w:rPr>
          <w:rFonts w:hint="eastAsia" w:ascii="微软雅黑" w:hAnsi="微软雅黑" w:eastAsia="微软雅黑" w:cs="仿宋"/>
          <w:sz w:val="22"/>
        </w:rPr>
        <w:t>4.指导管理区农业技术推广机构、技术协会的相关业务工作。</w:t>
      </w:r>
    </w:p>
    <w:p>
      <w:pPr>
        <w:spacing w:line="600" w:lineRule="exact"/>
        <w:ind w:firstLine="440" w:firstLineChars="200"/>
        <w:rPr>
          <w:rFonts w:ascii="微软雅黑" w:hAnsi="微软雅黑" w:eastAsia="微软雅黑" w:cs="仿宋"/>
          <w:sz w:val="22"/>
        </w:rPr>
      </w:pPr>
      <w:r>
        <w:rPr>
          <w:rFonts w:hint="eastAsia" w:ascii="微软雅黑" w:hAnsi="微软雅黑" w:eastAsia="微软雅黑" w:cs="仿宋"/>
          <w:sz w:val="22"/>
        </w:rPr>
        <w:t>5.承办管理区管委会交办的其他事项。</w:t>
      </w:r>
    </w:p>
    <w:p>
      <w:pPr>
        <w:spacing w:line="600" w:lineRule="exact"/>
        <w:ind w:firstLine="440" w:firstLineChars="200"/>
        <w:rPr>
          <w:rFonts w:ascii="微软雅黑" w:hAnsi="微软雅黑" w:eastAsia="微软雅黑" w:cs="仿宋"/>
          <w:sz w:val="22"/>
        </w:rPr>
      </w:pPr>
      <w:r>
        <w:rPr>
          <w:rFonts w:hint="eastAsia" w:ascii="微软雅黑" w:hAnsi="微软雅黑" w:eastAsia="微软雅黑" w:cs="仿宋"/>
          <w:sz w:val="22"/>
        </w:rPr>
        <w:t>（二）部门（单位）年度整体支出绩效目标，项目支出绩效目标</w:t>
      </w:r>
    </w:p>
    <w:p>
      <w:pPr>
        <w:spacing w:line="600" w:lineRule="exact"/>
        <w:ind w:firstLine="440" w:firstLineChars="200"/>
        <w:rPr>
          <w:rFonts w:ascii="微软雅黑" w:hAnsi="微软雅黑" w:eastAsia="微软雅黑" w:cs="仿宋"/>
          <w:sz w:val="22"/>
        </w:rPr>
      </w:pPr>
      <w:r>
        <w:rPr>
          <w:rFonts w:hint="eastAsia" w:ascii="微软雅黑" w:hAnsi="微软雅黑" w:eastAsia="微软雅黑" w:cs="仿宋"/>
          <w:sz w:val="22"/>
        </w:rPr>
        <w:t>经作办对全区经作水果做好产业发展中长期规划；负责拟定实施方案并组织实施；研究制订管理区柑橘果树等作物结构优化调整规划、标准化规程、示范及基地建设规划；负责本办公室相关项目的编制、申报和组织实施；组织实施管理区柑橘果树等作物新品种引试筛选和新技术的研究及引进、试验、示范、推广；负责上下单位对口衔接，组织实施上级单位安排的计划，检查指导下级单位的完成情况；负责完成中央、省、市、县（区）相关协作攻关课题；负责高产创建、农民技术培训和科技咨询工作；指导管理区农业技术推广机构、技术协会的相关业务工作；承办管理区管委会交办的其他事项。</w:t>
      </w:r>
    </w:p>
    <w:p>
      <w:pPr>
        <w:pStyle w:val="20"/>
        <w:numPr>
          <w:ilvl w:val="0"/>
          <w:numId w:val="1"/>
        </w:numPr>
        <w:spacing w:line="600" w:lineRule="exact"/>
        <w:ind w:firstLine="440"/>
        <w:rPr>
          <w:rFonts w:ascii="微软雅黑" w:hAnsi="微软雅黑" w:eastAsia="微软雅黑" w:cs="仿宋"/>
          <w:sz w:val="22"/>
          <w:highlight w:val="none"/>
        </w:rPr>
      </w:pPr>
      <w:r>
        <w:rPr>
          <w:rFonts w:hint="eastAsia" w:ascii="微软雅黑" w:hAnsi="微软雅黑" w:eastAsia="微软雅黑" w:cs="仿宋"/>
          <w:sz w:val="22"/>
          <w:highlight w:val="none"/>
        </w:rPr>
        <w:t>一般公共预算支出情况</w:t>
      </w:r>
    </w:p>
    <w:p>
      <w:pPr>
        <w:pStyle w:val="7"/>
        <w:widowControl/>
        <w:shd w:val="clear" w:color="auto" w:fill="FFFFFF"/>
        <w:spacing w:beforeAutospacing="0" w:afterAutospacing="0" w:line="33" w:lineRule="atLeast"/>
        <w:ind w:firstLine="440" w:firstLineChars="200"/>
        <w:jc w:val="both"/>
        <w:rPr>
          <w:rFonts w:ascii="微软雅黑" w:hAnsi="微软雅黑" w:eastAsia="微软雅黑" w:cs="仿宋"/>
          <w:sz w:val="22"/>
        </w:rPr>
      </w:pPr>
      <w:r>
        <w:rPr>
          <w:rFonts w:hint="eastAsia" w:ascii="微软雅黑" w:hAnsi="微软雅黑" w:eastAsia="微软雅黑" w:cs="仿宋"/>
          <w:sz w:val="22"/>
        </w:rPr>
        <w:t>2021年度本年收入</w:t>
      </w:r>
      <w:r>
        <w:rPr>
          <w:rFonts w:hint="eastAsia" w:ascii="微软雅黑" w:hAnsi="微软雅黑" w:eastAsia="微软雅黑" w:cs="仿宋"/>
          <w:sz w:val="22"/>
          <w:lang w:val="en-US" w:eastAsia="zh-CN"/>
        </w:rPr>
        <w:t>49</w:t>
      </w:r>
      <w:r>
        <w:rPr>
          <w:rFonts w:hint="eastAsia" w:ascii="微软雅黑" w:hAnsi="微软雅黑" w:eastAsia="微软雅黑" w:cs="仿宋"/>
          <w:sz w:val="22"/>
        </w:rPr>
        <w:t>万元，其中：财政拨款收入</w:t>
      </w:r>
      <w:r>
        <w:rPr>
          <w:rFonts w:hint="eastAsia" w:ascii="微软雅黑" w:hAnsi="微软雅黑" w:eastAsia="微软雅黑" w:cs="仿宋"/>
          <w:sz w:val="22"/>
          <w:lang w:val="en-US" w:eastAsia="zh-CN"/>
        </w:rPr>
        <w:t>49</w:t>
      </w:r>
      <w:r>
        <w:rPr>
          <w:rFonts w:hint="eastAsia" w:ascii="微软雅黑" w:hAnsi="微软雅黑" w:eastAsia="微软雅黑" w:cs="仿宋"/>
          <w:sz w:val="22"/>
        </w:rPr>
        <w:t>万元；</w:t>
      </w:r>
      <w:r>
        <w:rPr>
          <w:rFonts w:hint="eastAsia" w:ascii="微软雅黑" w:hAnsi="微软雅黑" w:eastAsia="微软雅黑" w:cs="仿宋"/>
          <w:sz w:val="22"/>
          <w:lang w:val="en-US" w:eastAsia="zh-CN"/>
        </w:rPr>
        <w:t>年初结余22.1万元；</w:t>
      </w:r>
      <w:r>
        <w:rPr>
          <w:rFonts w:hint="eastAsia" w:ascii="微软雅黑" w:hAnsi="微软雅黑" w:eastAsia="微软雅黑" w:cs="仿宋"/>
          <w:sz w:val="22"/>
        </w:rPr>
        <w:t>上级补助收入0万元；事业收入0万元；经营收入0万元；附属单位上缴收入0万元；其他收入0万元。</w:t>
      </w:r>
    </w:p>
    <w:p>
      <w:pPr>
        <w:pStyle w:val="7"/>
        <w:widowControl/>
        <w:shd w:val="clear" w:color="auto" w:fill="FFFFFF"/>
        <w:spacing w:beforeAutospacing="0" w:afterAutospacing="0" w:line="33" w:lineRule="atLeast"/>
        <w:ind w:firstLine="420"/>
        <w:jc w:val="both"/>
        <w:rPr>
          <w:rFonts w:ascii="微软雅黑" w:hAnsi="微软雅黑" w:eastAsia="微软雅黑" w:cs="仿宋"/>
          <w:sz w:val="22"/>
        </w:rPr>
      </w:pPr>
      <w:r>
        <w:rPr>
          <w:rFonts w:hint="eastAsia" w:ascii="微软雅黑" w:hAnsi="微软雅黑" w:eastAsia="微软雅黑" w:cs="仿宋"/>
          <w:sz w:val="22"/>
        </w:rPr>
        <w:t>2021年度支出合计</w:t>
      </w:r>
      <w:r>
        <w:rPr>
          <w:rFonts w:hint="eastAsia" w:ascii="微软雅黑" w:hAnsi="微软雅黑" w:eastAsia="微软雅黑" w:cs="仿宋"/>
          <w:sz w:val="22"/>
          <w:lang w:val="en-US" w:eastAsia="zh-CN"/>
        </w:rPr>
        <w:t>71.1</w:t>
      </w:r>
      <w:r>
        <w:rPr>
          <w:rFonts w:hint="eastAsia" w:ascii="微软雅黑" w:hAnsi="微软雅黑" w:eastAsia="微软雅黑" w:cs="仿宋"/>
          <w:sz w:val="22"/>
        </w:rPr>
        <w:t>万元，其中：基本支出</w:t>
      </w:r>
      <w:r>
        <w:rPr>
          <w:rFonts w:hint="eastAsia" w:ascii="微软雅黑" w:hAnsi="微软雅黑" w:eastAsia="微软雅黑" w:cs="仿宋"/>
          <w:sz w:val="22"/>
          <w:lang w:val="en-US" w:eastAsia="zh-CN"/>
        </w:rPr>
        <w:t>71.1</w:t>
      </w:r>
      <w:r>
        <w:rPr>
          <w:rFonts w:hint="eastAsia" w:ascii="微软雅黑" w:hAnsi="微软雅黑" w:eastAsia="微软雅黑" w:cs="仿宋"/>
          <w:sz w:val="22"/>
        </w:rPr>
        <w:t>万元；项目支出0万元；上缴上级支出0万元；经营支出0万元；对附属单位补助支出0万元。</w:t>
      </w:r>
    </w:p>
    <w:p>
      <w:pPr>
        <w:pStyle w:val="20"/>
        <w:numPr>
          <w:ilvl w:val="0"/>
          <w:numId w:val="2"/>
        </w:numPr>
        <w:spacing w:line="600" w:lineRule="exact"/>
        <w:ind w:firstLine="440"/>
        <w:rPr>
          <w:rFonts w:ascii="微软雅黑" w:hAnsi="微软雅黑" w:eastAsia="微软雅黑" w:cs="仿宋"/>
          <w:sz w:val="22"/>
          <w:highlight w:val="none"/>
        </w:rPr>
      </w:pPr>
      <w:r>
        <w:rPr>
          <w:rFonts w:hint="eastAsia" w:ascii="微软雅黑" w:hAnsi="微软雅黑" w:eastAsia="微软雅黑" w:cs="仿宋"/>
          <w:sz w:val="22"/>
          <w:highlight w:val="none"/>
        </w:rPr>
        <w:t>基本支出情况</w:t>
      </w:r>
    </w:p>
    <w:p>
      <w:pPr>
        <w:pStyle w:val="20"/>
        <w:spacing w:line="600" w:lineRule="exact"/>
        <w:ind w:firstLine="0" w:firstLineChars="0"/>
        <w:rPr>
          <w:rFonts w:ascii="微软雅黑" w:hAnsi="微软雅黑" w:eastAsia="微软雅黑" w:cs="仿宋"/>
          <w:sz w:val="22"/>
        </w:rPr>
      </w:pPr>
      <w:r>
        <w:rPr>
          <w:rFonts w:hint="eastAsia" w:ascii="微软雅黑" w:hAnsi="微软雅黑" w:eastAsia="微软雅黑" w:cs="仿宋"/>
          <w:sz w:val="22"/>
        </w:rPr>
        <w:t xml:space="preserve">    人员经费支出</w:t>
      </w:r>
      <w:r>
        <w:rPr>
          <w:rFonts w:hint="eastAsia" w:ascii="微软雅黑" w:hAnsi="微软雅黑" w:eastAsia="微软雅黑" w:cs="仿宋"/>
          <w:sz w:val="22"/>
          <w:lang w:val="en-US" w:eastAsia="zh-CN"/>
        </w:rPr>
        <w:t>38.6</w:t>
      </w:r>
      <w:r>
        <w:rPr>
          <w:rFonts w:hint="eastAsia" w:ascii="微软雅黑" w:hAnsi="微软雅黑" w:eastAsia="微软雅黑" w:cs="仿宋"/>
          <w:sz w:val="22"/>
        </w:rPr>
        <w:t>万元，主要包括基本工资、津贴补贴、奖金、伙食补助费等；公用经费支出</w:t>
      </w:r>
      <w:r>
        <w:rPr>
          <w:rFonts w:hint="eastAsia" w:ascii="微软雅黑" w:hAnsi="微软雅黑" w:eastAsia="微软雅黑" w:cs="仿宋"/>
          <w:sz w:val="22"/>
          <w:lang w:val="en-US" w:eastAsia="zh-CN"/>
        </w:rPr>
        <w:t>31.6</w:t>
      </w:r>
      <w:r>
        <w:rPr>
          <w:rFonts w:hint="eastAsia" w:ascii="微软雅黑" w:hAnsi="微软雅黑" w:eastAsia="微软雅黑" w:cs="仿宋"/>
          <w:sz w:val="22"/>
        </w:rPr>
        <w:t>万元，主要包括办公费、差旅费、公务接待费等</w:t>
      </w:r>
      <w:r>
        <w:rPr>
          <w:rFonts w:hint="eastAsia" w:ascii="微软雅黑" w:hAnsi="微软雅黑" w:eastAsia="微软雅黑" w:cs="仿宋"/>
          <w:sz w:val="22"/>
          <w:lang w:eastAsia="zh-CN"/>
        </w:rPr>
        <w:t>；对个人家庭的补助：</w:t>
      </w:r>
      <w:r>
        <w:rPr>
          <w:rFonts w:hint="eastAsia" w:ascii="微软雅黑" w:hAnsi="微软雅黑" w:eastAsia="微软雅黑" w:cs="仿宋"/>
          <w:sz w:val="22"/>
          <w:lang w:val="en-US" w:eastAsia="zh-CN"/>
        </w:rPr>
        <w:t>0.9万元，主要用于老党员退休职工慰问走访金</w:t>
      </w:r>
      <w:r>
        <w:rPr>
          <w:rFonts w:hint="eastAsia" w:ascii="微软雅黑" w:hAnsi="微软雅黑" w:eastAsia="微软雅黑" w:cs="仿宋"/>
          <w:sz w:val="22"/>
        </w:rPr>
        <w:t>。</w:t>
      </w:r>
    </w:p>
    <w:p>
      <w:pPr>
        <w:pStyle w:val="20"/>
        <w:spacing w:line="600" w:lineRule="exact"/>
        <w:ind w:firstLine="440"/>
        <w:rPr>
          <w:rFonts w:ascii="微软雅黑" w:hAnsi="微软雅黑" w:eastAsia="微软雅黑" w:cs="仿宋"/>
          <w:sz w:val="22"/>
        </w:rPr>
      </w:pPr>
      <w:r>
        <w:rPr>
          <w:rFonts w:hint="eastAsia" w:ascii="微软雅黑" w:hAnsi="微软雅黑" w:eastAsia="微软雅黑" w:cs="仿宋"/>
          <w:sz w:val="22"/>
        </w:rPr>
        <w:t>（二）项目支出情况（无）</w:t>
      </w:r>
    </w:p>
    <w:p>
      <w:pPr>
        <w:pStyle w:val="20"/>
        <w:spacing w:line="600" w:lineRule="exact"/>
        <w:ind w:firstLine="440"/>
        <w:rPr>
          <w:rFonts w:ascii="微软雅黑" w:hAnsi="微软雅黑" w:eastAsia="微软雅黑" w:cs="仿宋"/>
          <w:sz w:val="22"/>
        </w:rPr>
      </w:pPr>
      <w:r>
        <w:rPr>
          <w:rFonts w:hint="eastAsia" w:ascii="微软雅黑" w:hAnsi="微软雅黑" w:eastAsia="微软雅黑" w:cs="仿宋"/>
          <w:sz w:val="22"/>
        </w:rPr>
        <w:t>三、政府性基金预算支出情况（无）</w:t>
      </w:r>
    </w:p>
    <w:p>
      <w:pPr>
        <w:pStyle w:val="20"/>
        <w:spacing w:line="600" w:lineRule="exact"/>
        <w:ind w:firstLine="440"/>
        <w:rPr>
          <w:rFonts w:ascii="微软雅黑" w:hAnsi="微软雅黑" w:eastAsia="微软雅黑" w:cs="仿宋"/>
          <w:sz w:val="22"/>
        </w:rPr>
      </w:pPr>
      <w:r>
        <w:rPr>
          <w:rFonts w:hint="eastAsia" w:ascii="微软雅黑" w:hAnsi="微软雅黑" w:eastAsia="微软雅黑" w:cs="仿宋"/>
          <w:sz w:val="22"/>
        </w:rPr>
        <w:t>四、国有资本经营预算支出情况（无）</w:t>
      </w:r>
    </w:p>
    <w:p>
      <w:pPr>
        <w:pStyle w:val="20"/>
        <w:spacing w:line="600" w:lineRule="exact"/>
        <w:ind w:firstLine="440"/>
        <w:rPr>
          <w:rFonts w:ascii="微软雅黑" w:hAnsi="微软雅黑" w:eastAsia="微软雅黑" w:cs="仿宋"/>
          <w:sz w:val="22"/>
        </w:rPr>
      </w:pPr>
      <w:r>
        <w:rPr>
          <w:rFonts w:hint="eastAsia" w:ascii="微软雅黑" w:hAnsi="微软雅黑" w:eastAsia="微软雅黑" w:cs="仿宋"/>
          <w:sz w:val="22"/>
        </w:rPr>
        <w:t>五、社会保险基金预算支出情况（无）</w:t>
      </w:r>
    </w:p>
    <w:p>
      <w:pPr>
        <w:spacing w:line="600" w:lineRule="exact"/>
        <w:ind w:firstLine="440" w:firstLineChars="200"/>
        <w:rPr>
          <w:rFonts w:ascii="微软雅黑" w:hAnsi="微软雅黑" w:eastAsia="微软雅黑" w:cs="仿宋"/>
          <w:sz w:val="22"/>
        </w:rPr>
      </w:pPr>
      <w:r>
        <w:rPr>
          <w:rFonts w:hint="eastAsia" w:ascii="微软雅黑" w:hAnsi="微软雅黑" w:eastAsia="微软雅黑" w:cs="仿宋"/>
          <w:sz w:val="22"/>
        </w:rPr>
        <w:t>六、部门整体支出绩效情况</w:t>
      </w:r>
    </w:p>
    <w:p>
      <w:pPr>
        <w:spacing w:line="600" w:lineRule="exact"/>
        <w:ind w:firstLine="440" w:firstLineChars="200"/>
        <w:rPr>
          <w:rFonts w:ascii="微软雅黑" w:hAnsi="微软雅黑" w:eastAsia="微软雅黑" w:cs="仿宋"/>
          <w:sz w:val="22"/>
        </w:rPr>
      </w:pPr>
      <w:r>
        <w:rPr>
          <w:rFonts w:hint="eastAsia" w:ascii="微软雅黑" w:hAnsi="微软雅黑" w:eastAsia="微软雅黑" w:cs="仿宋"/>
          <w:sz w:val="22"/>
        </w:rPr>
        <w:t>（一）绩效评价组织情况</w:t>
      </w:r>
    </w:p>
    <w:p>
      <w:pPr>
        <w:pStyle w:val="7"/>
        <w:widowControl/>
        <w:shd w:val="clear" w:color="auto" w:fill="FFFFFF"/>
        <w:spacing w:beforeAutospacing="0" w:afterAutospacing="0" w:line="33" w:lineRule="atLeast"/>
        <w:ind w:firstLine="440" w:firstLineChars="200"/>
        <w:jc w:val="both"/>
        <w:rPr>
          <w:rFonts w:ascii="微软雅黑" w:hAnsi="微软雅黑" w:eastAsia="微软雅黑" w:cs="仿宋"/>
          <w:sz w:val="22"/>
        </w:rPr>
      </w:pPr>
      <w:r>
        <w:rPr>
          <w:rFonts w:hint="eastAsia" w:ascii="微软雅黑" w:hAnsi="微软雅黑" w:eastAsia="微软雅黑" w:cs="仿宋"/>
          <w:sz w:val="22"/>
        </w:rPr>
        <w:t>根据《永州市回龙圩管理区财政局关于开展202</w:t>
      </w:r>
      <w:r>
        <w:rPr>
          <w:rFonts w:hint="eastAsia" w:ascii="微软雅黑" w:hAnsi="微软雅黑" w:eastAsia="微软雅黑" w:cs="仿宋"/>
          <w:sz w:val="22"/>
          <w:lang w:val="en-US" w:eastAsia="zh-CN"/>
        </w:rPr>
        <w:t>1</w:t>
      </w:r>
      <w:r>
        <w:rPr>
          <w:rFonts w:hint="eastAsia" w:ascii="微软雅黑" w:hAnsi="微软雅黑" w:eastAsia="微软雅黑" w:cs="仿宋"/>
          <w:sz w:val="22"/>
        </w:rPr>
        <w:t>年度部门绩效自评工作的通知》文件要求，我办本着客观、公正、科学的原则，对本单位的整体支出认真开展了绩效自评工作。此次评价的对象包括本单位的基本支出和项目支出在内的单位整体支出，评价的范围为区经作办本级机构。</w:t>
      </w:r>
    </w:p>
    <w:p>
      <w:pPr>
        <w:pStyle w:val="7"/>
        <w:widowControl/>
        <w:shd w:val="clear" w:color="auto" w:fill="FFFFFF"/>
        <w:spacing w:beforeAutospacing="0" w:afterAutospacing="0" w:line="33" w:lineRule="atLeast"/>
        <w:ind w:firstLine="440" w:firstLineChars="200"/>
        <w:jc w:val="both"/>
        <w:rPr>
          <w:rFonts w:ascii="微软雅黑" w:hAnsi="微软雅黑" w:eastAsia="微软雅黑" w:cs="仿宋"/>
          <w:sz w:val="22"/>
        </w:rPr>
      </w:pPr>
      <w:r>
        <w:rPr>
          <w:rFonts w:hint="eastAsia" w:ascii="微软雅黑" w:hAnsi="微软雅黑" w:eastAsia="微软雅黑" w:cs="仿宋"/>
          <w:sz w:val="22"/>
        </w:rPr>
        <w:t>对区经作办本级的整体支出情况进行了核查，对年初预算编制及年中预算调整情况、预算收入整体执行情况、预算支出整体执行情况进行了核实，结合永州市人民政府下达的202</w:t>
      </w:r>
      <w:r>
        <w:rPr>
          <w:rFonts w:hint="eastAsia" w:ascii="微软雅黑" w:hAnsi="微软雅黑" w:eastAsia="微软雅黑" w:cs="仿宋"/>
          <w:sz w:val="22"/>
          <w:lang w:val="en-US" w:eastAsia="zh-CN"/>
        </w:rPr>
        <w:t>1</w:t>
      </w:r>
      <w:r>
        <w:rPr>
          <w:rFonts w:hint="eastAsia" w:ascii="微软雅黑" w:hAnsi="微软雅黑" w:eastAsia="微软雅黑" w:cs="仿宋"/>
          <w:sz w:val="22"/>
        </w:rPr>
        <w:t>年工作目标任务进行具体绩效指标设计，对绩效情况进行全面的定量、定性分析和综合评价。</w:t>
      </w:r>
    </w:p>
    <w:p>
      <w:pPr>
        <w:pStyle w:val="7"/>
        <w:widowControl/>
        <w:shd w:val="clear" w:color="auto" w:fill="FFFFFF"/>
        <w:spacing w:beforeAutospacing="0" w:afterAutospacing="0" w:line="33" w:lineRule="atLeast"/>
        <w:ind w:firstLine="440" w:firstLineChars="200"/>
        <w:jc w:val="both"/>
        <w:rPr>
          <w:rFonts w:ascii="微软雅黑" w:hAnsi="微软雅黑" w:eastAsia="微软雅黑" w:cs="仿宋"/>
          <w:sz w:val="22"/>
          <w:highlight w:val="none"/>
        </w:rPr>
      </w:pPr>
      <w:r>
        <w:rPr>
          <w:rFonts w:hint="eastAsia" w:ascii="微软雅黑" w:hAnsi="微软雅黑" w:eastAsia="微软雅黑" w:cs="仿宋"/>
          <w:sz w:val="22"/>
          <w:highlight w:val="none"/>
        </w:rPr>
        <w:t>（二）单位职责履行情况</w:t>
      </w:r>
    </w:p>
    <w:p>
      <w:pPr>
        <w:pStyle w:val="7"/>
        <w:widowControl/>
        <w:shd w:val="clear" w:color="auto" w:fill="FFFFFF"/>
        <w:spacing w:beforeAutospacing="0" w:afterAutospacing="0" w:line="33" w:lineRule="atLeast"/>
        <w:ind w:firstLine="440" w:firstLineChars="200"/>
        <w:jc w:val="both"/>
        <w:rPr>
          <w:rFonts w:ascii="微软雅黑" w:hAnsi="微软雅黑" w:eastAsia="微软雅黑" w:cs="仿宋"/>
          <w:sz w:val="22"/>
        </w:rPr>
      </w:pPr>
      <w:r>
        <w:rPr>
          <w:rFonts w:hint="eastAsia" w:ascii="微软雅黑" w:hAnsi="微软雅黑" w:eastAsia="微软雅黑" w:cs="仿宋"/>
          <w:sz w:val="22"/>
        </w:rPr>
        <w:t>202</w:t>
      </w:r>
      <w:r>
        <w:rPr>
          <w:rFonts w:hint="eastAsia" w:ascii="微软雅黑" w:hAnsi="微软雅黑" w:eastAsia="微软雅黑" w:cs="仿宋"/>
          <w:sz w:val="22"/>
          <w:lang w:val="en-US" w:eastAsia="zh-CN"/>
        </w:rPr>
        <w:t>1</w:t>
      </w:r>
      <w:r>
        <w:rPr>
          <w:rFonts w:hint="eastAsia" w:ascii="微软雅黑" w:hAnsi="微软雅黑" w:eastAsia="微软雅黑" w:cs="仿宋"/>
          <w:sz w:val="22"/>
        </w:rPr>
        <w:t>年，区经作办在区党委、管委的正确领导、大力支持下，克服疫情带来的不利影响，攻坚克难、真抓实干，着力推动柑橘产业提质增效、逥峰蜜柑农产品国家地理标志公共品牌打造、技术推广及农民培训、柑橘黄龙病防控，各项目标任务均已完成或超额完成。202</w:t>
      </w:r>
      <w:r>
        <w:rPr>
          <w:rFonts w:hint="eastAsia" w:ascii="微软雅黑" w:hAnsi="微软雅黑" w:eastAsia="微软雅黑" w:cs="仿宋"/>
          <w:sz w:val="22"/>
          <w:lang w:val="en-US" w:eastAsia="zh-CN"/>
        </w:rPr>
        <w:t>1</w:t>
      </w:r>
      <w:r>
        <w:rPr>
          <w:rFonts w:hint="eastAsia" w:ascii="微软雅黑" w:hAnsi="微软雅黑" w:eastAsia="微软雅黑" w:cs="仿宋"/>
          <w:sz w:val="22"/>
        </w:rPr>
        <w:t>年全区柑橘种植面积8.2万亩，其中投产面积6.5万余亩，产量</w:t>
      </w:r>
      <w:r>
        <w:rPr>
          <w:rFonts w:hint="eastAsia" w:ascii="微软雅黑" w:hAnsi="微软雅黑" w:eastAsia="微软雅黑" w:cs="仿宋"/>
          <w:sz w:val="22"/>
          <w:lang w:val="en-US" w:eastAsia="zh-CN"/>
        </w:rPr>
        <w:t>13.31</w:t>
      </w:r>
      <w:r>
        <w:rPr>
          <w:rFonts w:hint="eastAsia" w:ascii="微软雅黑" w:hAnsi="微软雅黑" w:eastAsia="微软雅黑" w:cs="仿宋"/>
          <w:sz w:val="22"/>
        </w:rPr>
        <w:t>万吨，产值</w:t>
      </w:r>
      <w:r>
        <w:rPr>
          <w:rFonts w:hint="eastAsia" w:ascii="微软雅黑" w:hAnsi="微软雅黑" w:eastAsia="微软雅黑" w:cs="仿宋"/>
          <w:sz w:val="22"/>
          <w:lang w:val="en-US" w:eastAsia="zh-CN"/>
        </w:rPr>
        <w:t>58600</w:t>
      </w:r>
      <w:r>
        <w:rPr>
          <w:rFonts w:hint="eastAsia" w:ascii="微软雅黑" w:hAnsi="微软雅黑" w:eastAsia="微软雅黑" w:cs="仿宋"/>
          <w:sz w:val="22"/>
        </w:rPr>
        <w:t>万元</w:t>
      </w:r>
      <w:r>
        <w:rPr>
          <w:rFonts w:hint="eastAsia" w:ascii="微软雅黑" w:hAnsi="微软雅黑" w:eastAsia="微软雅黑" w:cs="仿宋"/>
          <w:sz w:val="22"/>
          <w:lang w:eastAsia="zh-CN"/>
        </w:rPr>
        <w:t>；蔬菜</w:t>
      </w:r>
      <w:r>
        <w:rPr>
          <w:rFonts w:hint="eastAsia" w:ascii="微软雅黑" w:hAnsi="微软雅黑" w:eastAsia="微软雅黑" w:cs="仿宋"/>
          <w:sz w:val="22"/>
          <w:lang w:val="en-US" w:eastAsia="zh-CN"/>
        </w:rPr>
        <w:t>1万亩，产量1.3万吨，产值5100万元。</w:t>
      </w:r>
      <w:r>
        <w:rPr>
          <w:rFonts w:hint="eastAsia" w:ascii="微软雅黑" w:hAnsi="微软雅黑" w:eastAsia="微软雅黑" w:cs="仿宋"/>
          <w:sz w:val="22"/>
        </w:rPr>
        <w:t>“逥峰蜜柑”获得国家农产品地理标志正式颁证，并获得第二十二届中国（长沙）中部农博会金奖。</w:t>
      </w:r>
    </w:p>
    <w:p>
      <w:pPr>
        <w:pStyle w:val="7"/>
        <w:widowControl/>
        <w:shd w:val="clear" w:color="auto" w:fill="FFFFFF"/>
        <w:spacing w:beforeAutospacing="0" w:afterAutospacing="0" w:line="33" w:lineRule="atLeast"/>
        <w:ind w:firstLine="440" w:firstLineChars="200"/>
        <w:jc w:val="both"/>
        <w:rPr>
          <w:rFonts w:ascii="微软雅黑" w:hAnsi="微软雅黑" w:eastAsia="微软雅黑" w:cs="仿宋"/>
          <w:sz w:val="22"/>
        </w:rPr>
      </w:pPr>
      <w:r>
        <w:rPr>
          <w:rFonts w:hint="eastAsia" w:ascii="微软雅黑" w:hAnsi="微软雅黑" w:eastAsia="微软雅黑" w:cs="仿宋"/>
          <w:sz w:val="22"/>
        </w:rPr>
        <w:t>（三）预算管理情况</w:t>
      </w:r>
    </w:p>
    <w:p>
      <w:pPr>
        <w:pStyle w:val="7"/>
        <w:widowControl/>
        <w:shd w:val="clear" w:color="auto" w:fill="FFFFFF"/>
        <w:spacing w:beforeAutospacing="0" w:afterAutospacing="0" w:line="33" w:lineRule="atLeast"/>
        <w:ind w:firstLine="440" w:firstLineChars="200"/>
        <w:jc w:val="both"/>
        <w:rPr>
          <w:rFonts w:ascii="微软雅黑" w:hAnsi="微软雅黑" w:eastAsia="微软雅黑" w:cs="仿宋"/>
          <w:sz w:val="22"/>
        </w:rPr>
      </w:pPr>
      <w:r>
        <w:rPr>
          <w:rFonts w:hint="eastAsia" w:ascii="微软雅黑" w:hAnsi="微软雅黑" w:eastAsia="微软雅黑" w:cs="仿宋"/>
          <w:sz w:val="22"/>
        </w:rPr>
        <w:t>我办管理制度健全，成立了内控工作领导小组，有内部控制管理制度，完善了业务操作流程，坚持“先预算、后支出”,各项收支均纳入预算管理，统筹安排使用，确保各项工作的顺利开展；能严格执行中央八项规定、有关法律法规和财经纪律，加强“三公”经费的管理，尽量降低行政运行成本，各项经费支出严格按照政府采购、国库集中支付、公务卡支付等有关规定执行,预算执行完成和控制较好；各项应向社会公开的信息及时、完整、真实，能按规定时限和规定内容公开部门预算、部门决算以及绩效自评报告，部门预决算信息透明度进一步提高。</w:t>
      </w:r>
    </w:p>
    <w:p>
      <w:pPr>
        <w:pStyle w:val="7"/>
        <w:widowControl/>
        <w:shd w:val="clear" w:color="auto" w:fill="FFFFFF"/>
        <w:spacing w:beforeAutospacing="0" w:afterAutospacing="0" w:line="33" w:lineRule="atLeast"/>
        <w:ind w:firstLine="440" w:firstLineChars="200"/>
        <w:jc w:val="both"/>
        <w:rPr>
          <w:rFonts w:ascii="微软雅黑" w:hAnsi="微软雅黑" w:eastAsia="微软雅黑" w:cs="仿宋"/>
          <w:sz w:val="22"/>
        </w:rPr>
      </w:pPr>
      <w:r>
        <w:rPr>
          <w:rFonts w:hint="eastAsia" w:ascii="微软雅黑" w:hAnsi="微软雅黑" w:eastAsia="微软雅黑" w:cs="仿宋"/>
          <w:sz w:val="22"/>
        </w:rPr>
        <w:t>（四）绩效自评结论</w:t>
      </w:r>
    </w:p>
    <w:p>
      <w:pPr>
        <w:spacing w:line="600" w:lineRule="exact"/>
        <w:ind w:firstLine="440" w:firstLineChars="200"/>
        <w:rPr>
          <w:rFonts w:ascii="微软雅黑" w:hAnsi="微软雅黑" w:eastAsia="微软雅黑" w:cs="仿宋"/>
          <w:color w:val="000000"/>
          <w:sz w:val="22"/>
        </w:rPr>
      </w:pPr>
      <w:r>
        <w:rPr>
          <w:rFonts w:hint="eastAsia" w:ascii="微软雅黑" w:hAnsi="微软雅黑" w:eastAsia="微软雅黑" w:cs="仿宋"/>
          <w:kern w:val="0"/>
          <w:sz w:val="22"/>
        </w:rPr>
        <w:t>通过认真总结分析自评和核查评价情况，形成了本单位的整体支出绩效评价结论：202</w:t>
      </w:r>
      <w:r>
        <w:rPr>
          <w:rFonts w:hint="eastAsia" w:ascii="微软雅黑" w:hAnsi="微软雅黑" w:eastAsia="微软雅黑" w:cs="仿宋"/>
          <w:kern w:val="0"/>
          <w:sz w:val="22"/>
          <w:lang w:val="en-US" w:eastAsia="zh-CN"/>
        </w:rPr>
        <w:t>1</w:t>
      </w:r>
      <w:r>
        <w:rPr>
          <w:rFonts w:hint="eastAsia" w:ascii="微软雅黑" w:hAnsi="微软雅黑" w:eastAsia="微软雅黑" w:cs="仿宋"/>
          <w:kern w:val="0"/>
          <w:sz w:val="22"/>
        </w:rPr>
        <w:t>年我办整体支出绩效自评分为</w:t>
      </w:r>
      <w:r>
        <w:rPr>
          <w:rFonts w:hint="eastAsia" w:ascii="微软雅黑" w:hAnsi="微软雅黑" w:eastAsia="微软雅黑" w:cs="仿宋"/>
          <w:kern w:val="0"/>
          <w:sz w:val="22"/>
          <w:lang w:val="en-US" w:eastAsia="zh-CN"/>
        </w:rPr>
        <w:t>99</w:t>
      </w:r>
      <w:r>
        <w:rPr>
          <w:rFonts w:hint="eastAsia" w:ascii="微软雅黑" w:hAnsi="微软雅黑" w:eastAsia="微软雅黑" w:cs="仿宋"/>
          <w:kern w:val="0"/>
          <w:sz w:val="22"/>
        </w:rPr>
        <w:t>分，为“优”等级。</w:t>
      </w:r>
    </w:p>
    <w:p>
      <w:pPr>
        <w:pStyle w:val="20"/>
        <w:spacing w:line="600" w:lineRule="exact"/>
        <w:ind w:firstLine="440"/>
        <w:rPr>
          <w:rFonts w:ascii="微软雅黑" w:hAnsi="微软雅黑" w:eastAsia="微软雅黑" w:cs="仿宋"/>
          <w:sz w:val="22"/>
        </w:rPr>
      </w:pPr>
      <w:r>
        <w:rPr>
          <w:rFonts w:hint="eastAsia" w:ascii="微软雅黑" w:hAnsi="微软雅黑" w:eastAsia="微软雅黑" w:cs="仿宋"/>
          <w:sz w:val="22"/>
        </w:rPr>
        <w:t>七、存在的问题及原因分析</w:t>
      </w:r>
    </w:p>
    <w:p>
      <w:pPr>
        <w:spacing w:line="600" w:lineRule="exact"/>
        <w:ind w:firstLine="440" w:firstLineChars="200"/>
        <w:rPr>
          <w:rFonts w:ascii="微软雅黑" w:hAnsi="微软雅黑" w:eastAsia="微软雅黑" w:cs="仿宋"/>
          <w:sz w:val="22"/>
        </w:rPr>
      </w:pPr>
      <w:r>
        <w:rPr>
          <w:rFonts w:hint="eastAsia" w:ascii="微软雅黑" w:hAnsi="微软雅黑" w:eastAsia="微软雅黑" w:cs="仿宋"/>
          <w:sz w:val="22"/>
        </w:rPr>
        <w:t>一是我办在资金、政策资源、人员技术力量等方面与管理区发达的支柱产业无法匹配，有很多职能工作是与农业委重叠的，但是分工又不明确，导致部分工作难以推进。二是年初部门预算编制不够科学和细化。由于部分专项工作经费未纳入年初部门预算，需要年中申请追加预算，指标追加不及时且比例较大，不利于工作的及时开展和预算执行的控制。</w:t>
      </w:r>
    </w:p>
    <w:p>
      <w:pPr>
        <w:spacing w:line="600" w:lineRule="exact"/>
        <w:ind w:firstLine="440" w:firstLineChars="200"/>
        <w:rPr>
          <w:rFonts w:ascii="微软雅黑" w:hAnsi="微软雅黑" w:eastAsia="微软雅黑" w:cs="仿宋"/>
          <w:sz w:val="22"/>
        </w:rPr>
      </w:pPr>
      <w:r>
        <w:rPr>
          <w:rFonts w:hint="eastAsia" w:ascii="微软雅黑" w:hAnsi="微软雅黑" w:eastAsia="微软雅黑" w:cs="仿宋"/>
          <w:sz w:val="22"/>
        </w:rPr>
        <w:t>八、下一步改进措施</w:t>
      </w:r>
    </w:p>
    <w:p>
      <w:pPr>
        <w:pStyle w:val="7"/>
        <w:widowControl/>
        <w:shd w:val="clear" w:color="auto" w:fill="FFFFFF"/>
        <w:spacing w:beforeAutospacing="0" w:afterAutospacing="0" w:line="33" w:lineRule="atLeast"/>
        <w:ind w:firstLine="440" w:firstLineChars="200"/>
        <w:jc w:val="both"/>
        <w:rPr>
          <w:rFonts w:ascii="微软雅黑" w:hAnsi="微软雅黑" w:eastAsia="微软雅黑" w:cs="仿宋"/>
          <w:color w:val="000000"/>
          <w:sz w:val="22"/>
        </w:rPr>
      </w:pPr>
      <w:r>
        <w:rPr>
          <w:rFonts w:hint="eastAsia" w:ascii="微软雅黑" w:hAnsi="微软雅黑" w:eastAsia="微软雅黑" w:cs="仿宋"/>
          <w:color w:val="000000"/>
          <w:sz w:val="22"/>
        </w:rPr>
        <w:t>我们将进一步推进预算绩效管理，不仅规范支出，更要对各项支出的效果进行跟踪问效，将预算绩效管理融入单位的日常管理中。具体做法有：</w:t>
      </w:r>
    </w:p>
    <w:p>
      <w:pPr>
        <w:pStyle w:val="7"/>
        <w:widowControl/>
        <w:shd w:val="clear" w:color="auto" w:fill="FFFFFF"/>
        <w:spacing w:beforeAutospacing="0" w:afterAutospacing="0" w:line="33" w:lineRule="atLeast"/>
        <w:ind w:firstLine="440" w:firstLineChars="200"/>
        <w:jc w:val="both"/>
        <w:rPr>
          <w:rFonts w:ascii="微软雅黑" w:hAnsi="微软雅黑" w:eastAsia="微软雅黑" w:cs="仿宋"/>
          <w:color w:val="000000"/>
          <w:sz w:val="22"/>
        </w:rPr>
      </w:pPr>
      <w:r>
        <w:rPr>
          <w:rFonts w:hint="eastAsia" w:ascii="微软雅黑" w:hAnsi="微软雅黑" w:eastAsia="微软雅黑" w:cs="仿宋"/>
          <w:color w:val="000000"/>
          <w:sz w:val="22"/>
        </w:rPr>
        <w:t>1.科学编制部门预算。按照《预算法》及相关制度要求，根据本单位的年度工作计划和工作重点，认真测算、合理编制部门预算，力求科学严谨、全面细致。严格按照预算项目和使用用途执行预算，强化预算约束。严格执行政府采购预算，按照《政府采购法》的要求做好采购工作，做到应采尽采，按进度完成各项工作任务。</w:t>
      </w:r>
    </w:p>
    <w:p>
      <w:pPr>
        <w:spacing w:line="600" w:lineRule="exact"/>
        <w:ind w:firstLine="440" w:firstLineChars="200"/>
        <w:rPr>
          <w:rFonts w:ascii="微软雅黑" w:hAnsi="微软雅黑" w:eastAsia="微软雅黑" w:cs="仿宋"/>
          <w:sz w:val="22"/>
        </w:rPr>
      </w:pPr>
      <w:r>
        <w:rPr>
          <w:rFonts w:hint="eastAsia" w:ascii="微软雅黑" w:hAnsi="微软雅黑" w:eastAsia="微软雅黑" w:cs="仿宋"/>
          <w:color w:val="000000"/>
          <w:sz w:val="22"/>
        </w:rPr>
        <w:t>2.将绩效管理纳入财务管理日常工作。绩效评价是衡量财政支出的规范性和有效性的一个重要体系，因此应将财政支出绩效评价纳入单位财务管理的一项日常工作，在日常的支出中，应将绩效评价纳入其中，对每一笔支出的效益和产出进行评估，从而真正做到让财政资金发挥更大的效益。</w:t>
      </w:r>
    </w:p>
    <w:p>
      <w:pPr>
        <w:spacing w:line="600" w:lineRule="exact"/>
        <w:ind w:firstLine="440" w:firstLineChars="200"/>
        <w:rPr>
          <w:rFonts w:ascii="微软雅黑" w:hAnsi="微软雅黑" w:eastAsia="微软雅黑" w:cs="仿宋"/>
          <w:sz w:val="22"/>
        </w:rPr>
      </w:pPr>
      <w:r>
        <w:rPr>
          <w:rFonts w:hint="eastAsia" w:ascii="微软雅黑" w:hAnsi="微软雅黑" w:eastAsia="微软雅黑" w:cs="仿宋"/>
          <w:sz w:val="22"/>
        </w:rPr>
        <w:t>九、绩效自评结果拟应用和公开情况</w:t>
      </w:r>
    </w:p>
    <w:p>
      <w:pPr>
        <w:spacing w:line="600" w:lineRule="exact"/>
        <w:ind w:firstLine="440" w:firstLineChars="200"/>
        <w:rPr>
          <w:rFonts w:hint="eastAsia" w:ascii="微软雅黑" w:hAnsi="微软雅黑" w:eastAsia="微软雅黑" w:cs="仿宋"/>
          <w:sz w:val="22"/>
        </w:rPr>
      </w:pPr>
      <w:r>
        <w:rPr>
          <w:rFonts w:hint="eastAsia" w:ascii="微软雅黑" w:hAnsi="微软雅黑" w:eastAsia="微软雅黑" w:cs="仿宋"/>
          <w:sz w:val="22"/>
        </w:rPr>
        <w:t>其他需要说明的情况</w:t>
      </w:r>
    </w:p>
    <w:p>
      <w:pPr>
        <w:spacing w:line="600" w:lineRule="exact"/>
        <w:ind w:firstLine="440" w:firstLineChars="200"/>
        <w:rPr>
          <w:rFonts w:hint="eastAsia" w:ascii="微软雅黑" w:hAnsi="微软雅黑" w:eastAsia="微软雅黑" w:cs="仿宋"/>
          <w:sz w:val="22"/>
        </w:rPr>
      </w:pPr>
    </w:p>
    <w:p>
      <w:pPr>
        <w:spacing w:line="600" w:lineRule="exact"/>
        <w:ind w:firstLine="440" w:firstLineChars="200"/>
        <w:rPr>
          <w:rFonts w:hint="eastAsia" w:ascii="微软雅黑" w:hAnsi="微软雅黑" w:eastAsia="微软雅黑" w:cs="仿宋"/>
          <w:sz w:val="22"/>
          <w:lang w:eastAsia="zh-CN"/>
        </w:rPr>
      </w:pPr>
      <w:r>
        <w:rPr>
          <w:rFonts w:hint="eastAsia" w:ascii="微软雅黑" w:hAnsi="微软雅黑" w:eastAsia="微软雅黑" w:cs="仿宋"/>
          <w:sz w:val="22"/>
          <w:lang w:eastAsia="zh-CN"/>
        </w:rPr>
        <w:object>
          <v:shape id="_x0000_i1027" o:spt="75" alt="" type="#_x0000_t75" style="height:44.6pt;width:41.65pt;" o:ole="t" filled="f" o:preferrelative="t" stroked="f" coordsize="21600,21600">
            <v:path/>
            <v:fill on="f" focussize="0,0"/>
            <v:stroke on="f"/>
            <v:imagedata r:id="rId5" o:title=""/>
            <o:lock v:ext="edit" aspectratio="t"/>
            <w10:wrap type="none"/>
            <w10:anchorlock/>
          </v:shape>
          <o:OLEObject Type="Embed" ProgID="Excel.Sheet.8" ShapeID="_x0000_i1027" DrawAspect="Icon" ObjectID="_1468075725" r:id="rId4">
            <o:LockedField>false</o:LockedField>
          </o:OLEObject>
        </w:object>
      </w:r>
    </w:p>
    <w:p>
      <w:pPr>
        <w:spacing w:line="600" w:lineRule="exact"/>
        <w:ind w:firstLine="440" w:firstLineChars="200"/>
        <w:rPr>
          <w:rFonts w:hint="eastAsia" w:ascii="微软雅黑" w:hAnsi="微软雅黑" w:eastAsia="微软雅黑" w:cs="仿宋"/>
          <w:sz w:val="22"/>
        </w:rPr>
      </w:pPr>
    </w:p>
    <w:p>
      <w:pPr>
        <w:spacing w:line="600" w:lineRule="exact"/>
        <w:rPr>
          <w:rFonts w:hint="eastAsia" w:ascii="微软雅黑" w:hAnsi="微软雅黑" w:eastAsia="微软雅黑" w:cs="仿宋"/>
          <w:sz w:val="22"/>
          <w:lang w:eastAsia="zh-CN"/>
        </w:rPr>
      </w:pPr>
    </w:p>
    <w:p>
      <w:pPr>
        <w:spacing w:line="600" w:lineRule="exact"/>
        <w:ind w:firstLine="420" w:firstLineChars="0"/>
        <w:rPr>
          <w:rFonts w:hint="eastAsia" w:ascii="微软雅黑" w:hAnsi="微软雅黑" w:eastAsia="微软雅黑"/>
          <w:sz w:val="22"/>
          <w:lang w:eastAsia="zh-CN"/>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80EDD"/>
    <w:multiLevelType w:val="singleLevel"/>
    <w:tmpl w:val="BBF80EDD"/>
    <w:lvl w:ilvl="0" w:tentative="0">
      <w:start w:val="1"/>
      <w:numFmt w:val="chineseCounting"/>
      <w:suff w:val="nothing"/>
      <w:lvlText w:val="（%1）"/>
      <w:lvlJc w:val="left"/>
      <w:rPr>
        <w:rFonts w:hint="eastAsia"/>
      </w:rPr>
    </w:lvl>
  </w:abstractNum>
  <w:abstractNum w:abstractNumId="1">
    <w:nsid w:val="2ECE703A"/>
    <w:multiLevelType w:val="singleLevel"/>
    <w:tmpl w:val="2ECE703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2ZWIwMTdjYjljMDE5OGUyODcwNDhlZTEwM2E0NjAifQ=="/>
  </w:docVars>
  <w:rsids>
    <w:rsidRoot w:val="00B136DC"/>
    <w:rsid w:val="00060F8D"/>
    <w:rsid w:val="00080F90"/>
    <w:rsid w:val="000B1A5C"/>
    <w:rsid w:val="000D3397"/>
    <w:rsid w:val="000E0D73"/>
    <w:rsid w:val="00181C6E"/>
    <w:rsid w:val="001E32E5"/>
    <w:rsid w:val="001F1046"/>
    <w:rsid w:val="002E45E2"/>
    <w:rsid w:val="00386B1A"/>
    <w:rsid w:val="003D1B1B"/>
    <w:rsid w:val="00457DC9"/>
    <w:rsid w:val="00472C8A"/>
    <w:rsid w:val="004A04D0"/>
    <w:rsid w:val="004B0041"/>
    <w:rsid w:val="00501C31"/>
    <w:rsid w:val="005840E6"/>
    <w:rsid w:val="005C7D94"/>
    <w:rsid w:val="006161F1"/>
    <w:rsid w:val="00632998"/>
    <w:rsid w:val="006534D1"/>
    <w:rsid w:val="00675E5B"/>
    <w:rsid w:val="006A3C7D"/>
    <w:rsid w:val="006B3796"/>
    <w:rsid w:val="007546F2"/>
    <w:rsid w:val="00760CEE"/>
    <w:rsid w:val="00774B8B"/>
    <w:rsid w:val="007D78FD"/>
    <w:rsid w:val="007E4583"/>
    <w:rsid w:val="007F3AA6"/>
    <w:rsid w:val="0084740A"/>
    <w:rsid w:val="008D0C19"/>
    <w:rsid w:val="00961219"/>
    <w:rsid w:val="009D08D6"/>
    <w:rsid w:val="00A44B9E"/>
    <w:rsid w:val="00A51F55"/>
    <w:rsid w:val="00B03E82"/>
    <w:rsid w:val="00B136DC"/>
    <w:rsid w:val="00B56F3F"/>
    <w:rsid w:val="00BA2AFF"/>
    <w:rsid w:val="00BE7B50"/>
    <w:rsid w:val="00C13B05"/>
    <w:rsid w:val="00C15343"/>
    <w:rsid w:val="00C42686"/>
    <w:rsid w:val="00DC35F7"/>
    <w:rsid w:val="00E4150D"/>
    <w:rsid w:val="00E649DC"/>
    <w:rsid w:val="00E81C1A"/>
    <w:rsid w:val="00F00B6B"/>
    <w:rsid w:val="00F32FDF"/>
    <w:rsid w:val="00F509E0"/>
    <w:rsid w:val="018D2B88"/>
    <w:rsid w:val="030F4AB4"/>
    <w:rsid w:val="04043713"/>
    <w:rsid w:val="049A5E25"/>
    <w:rsid w:val="050D2A9B"/>
    <w:rsid w:val="0516509A"/>
    <w:rsid w:val="089D4136"/>
    <w:rsid w:val="08C416C3"/>
    <w:rsid w:val="092938AC"/>
    <w:rsid w:val="0AD85765"/>
    <w:rsid w:val="0B2B5A29"/>
    <w:rsid w:val="0D6C5871"/>
    <w:rsid w:val="0DB7398C"/>
    <w:rsid w:val="0F2904D1"/>
    <w:rsid w:val="14691C26"/>
    <w:rsid w:val="148925D1"/>
    <w:rsid w:val="14A52335"/>
    <w:rsid w:val="18784800"/>
    <w:rsid w:val="19212219"/>
    <w:rsid w:val="1A5B579C"/>
    <w:rsid w:val="1C08156A"/>
    <w:rsid w:val="1CCC747F"/>
    <w:rsid w:val="202F3F1C"/>
    <w:rsid w:val="2369138D"/>
    <w:rsid w:val="268754C0"/>
    <w:rsid w:val="27B35661"/>
    <w:rsid w:val="2CC96006"/>
    <w:rsid w:val="2D724C7C"/>
    <w:rsid w:val="300D39E7"/>
    <w:rsid w:val="32B72DD0"/>
    <w:rsid w:val="32D76F58"/>
    <w:rsid w:val="346D7EB3"/>
    <w:rsid w:val="355A1D8A"/>
    <w:rsid w:val="3B8F2649"/>
    <w:rsid w:val="3BD9047A"/>
    <w:rsid w:val="3C355E58"/>
    <w:rsid w:val="3DD60D38"/>
    <w:rsid w:val="3E9D61DD"/>
    <w:rsid w:val="3ECF2D9D"/>
    <w:rsid w:val="439574F9"/>
    <w:rsid w:val="44B0748E"/>
    <w:rsid w:val="45F3695F"/>
    <w:rsid w:val="482F5E51"/>
    <w:rsid w:val="48C31B36"/>
    <w:rsid w:val="49576024"/>
    <w:rsid w:val="4A234387"/>
    <w:rsid w:val="4B26353C"/>
    <w:rsid w:val="4BC747F3"/>
    <w:rsid w:val="5147387C"/>
    <w:rsid w:val="544710D7"/>
    <w:rsid w:val="569D4A5F"/>
    <w:rsid w:val="59F34F31"/>
    <w:rsid w:val="5A9539D9"/>
    <w:rsid w:val="5B857E0A"/>
    <w:rsid w:val="5C1F4E6A"/>
    <w:rsid w:val="5C662A50"/>
    <w:rsid w:val="5D8863B9"/>
    <w:rsid w:val="60C7100F"/>
    <w:rsid w:val="60FB291D"/>
    <w:rsid w:val="612D742D"/>
    <w:rsid w:val="63550013"/>
    <w:rsid w:val="63A0514C"/>
    <w:rsid w:val="64492457"/>
    <w:rsid w:val="64CB10F1"/>
    <w:rsid w:val="64E22AF5"/>
    <w:rsid w:val="68297D70"/>
    <w:rsid w:val="6BE00244"/>
    <w:rsid w:val="6DF52A54"/>
    <w:rsid w:val="6E510020"/>
    <w:rsid w:val="6F2D0370"/>
    <w:rsid w:val="707A12F0"/>
    <w:rsid w:val="73E55492"/>
    <w:rsid w:val="7B9F3FC0"/>
    <w:rsid w:val="7BF40FB0"/>
    <w:rsid w:val="7C1F17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0"/>
    <w:pPr>
      <w:spacing w:after="120"/>
    </w:pPr>
    <w:rPr>
      <w:rFonts w:ascii="Times New Roman" w:hAnsi="Times New Roman" w:eastAsia="宋体" w:cs="Times New Roman"/>
      <w:szCs w:val="24"/>
    </w:rPr>
  </w:style>
  <w:style w:type="paragraph" w:styleId="3">
    <w:name w:val="Date"/>
    <w:basedOn w:val="1"/>
    <w:next w:val="1"/>
    <w:link w:val="19"/>
    <w:semiHidden/>
    <w:unhideWhenUsed/>
    <w:qFormat/>
    <w:uiPriority w:val="99"/>
    <w:pPr>
      <w:ind w:left="100" w:leftChars="2500"/>
    </w:pPr>
  </w:style>
  <w:style w:type="paragraph" w:styleId="4">
    <w:name w:val="Balloon Text"/>
    <w:basedOn w:val="1"/>
    <w:link w:val="27"/>
    <w:semiHidden/>
    <w:qFormat/>
    <w:uiPriority w:val="99"/>
    <w:rPr>
      <w:rFonts w:ascii="Times New Roman" w:hAnsi="Times New Roman" w:eastAsia="宋体" w:cs="Times New Roman"/>
      <w:sz w:val="18"/>
      <w:szCs w:val="18"/>
    </w:rPr>
  </w:style>
  <w:style w:type="paragraph" w:styleId="5">
    <w:name w:val="footer"/>
    <w:basedOn w:val="1"/>
    <w:link w:val="22"/>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character" w:styleId="10">
    <w:name w:val="page number"/>
    <w:basedOn w:val="9"/>
    <w:qFormat/>
    <w:uiPriority w:val="0"/>
  </w:style>
  <w:style w:type="character" w:styleId="11">
    <w:name w:val="FollowedHyperlink"/>
    <w:basedOn w:val="9"/>
    <w:semiHidden/>
    <w:unhideWhenUsed/>
    <w:qFormat/>
    <w:uiPriority w:val="99"/>
    <w:rPr>
      <w:color w:val="333333"/>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Acronym"/>
    <w:basedOn w:val="9"/>
    <w:semiHidden/>
    <w:unhideWhenUsed/>
    <w:qFormat/>
    <w:uiPriority w:val="99"/>
  </w:style>
  <w:style w:type="character" w:styleId="15">
    <w:name w:val="HTML Variable"/>
    <w:basedOn w:val="9"/>
    <w:semiHidden/>
    <w:unhideWhenUsed/>
    <w:qFormat/>
    <w:uiPriority w:val="99"/>
  </w:style>
  <w:style w:type="character" w:styleId="16">
    <w:name w:val="Hyperlink"/>
    <w:basedOn w:val="9"/>
    <w:semiHidden/>
    <w:unhideWhenUsed/>
    <w:qFormat/>
    <w:uiPriority w:val="99"/>
    <w:rPr>
      <w:color w:val="333333"/>
      <w:u w:val="none"/>
    </w:rPr>
  </w:style>
  <w:style w:type="character" w:styleId="17">
    <w:name w:val="HTML Code"/>
    <w:basedOn w:val="9"/>
    <w:semiHidden/>
    <w:unhideWhenUsed/>
    <w:qFormat/>
    <w:uiPriority w:val="99"/>
    <w:rPr>
      <w:rFonts w:ascii="Courier New" w:hAnsi="Courier New"/>
      <w:sz w:val="20"/>
    </w:rPr>
  </w:style>
  <w:style w:type="character" w:styleId="18">
    <w:name w:val="HTML Cite"/>
    <w:basedOn w:val="9"/>
    <w:semiHidden/>
    <w:unhideWhenUsed/>
    <w:qFormat/>
    <w:uiPriority w:val="99"/>
  </w:style>
  <w:style w:type="character" w:customStyle="1" w:styleId="19">
    <w:name w:val="日期 Char"/>
    <w:basedOn w:val="9"/>
    <w:link w:val="3"/>
    <w:semiHidden/>
    <w:qFormat/>
    <w:uiPriority w:val="99"/>
  </w:style>
  <w:style w:type="paragraph" w:styleId="20">
    <w:name w:val="List Paragraph"/>
    <w:basedOn w:val="1"/>
    <w:qFormat/>
    <w:uiPriority w:val="34"/>
    <w:pPr>
      <w:ind w:firstLine="420" w:firstLineChars="200"/>
    </w:pPr>
  </w:style>
  <w:style w:type="character" w:customStyle="1" w:styleId="21">
    <w:name w:val="页眉 Char"/>
    <w:basedOn w:val="9"/>
    <w:link w:val="6"/>
    <w:qFormat/>
    <w:uiPriority w:val="99"/>
    <w:rPr>
      <w:sz w:val="18"/>
      <w:szCs w:val="18"/>
    </w:rPr>
  </w:style>
  <w:style w:type="character" w:customStyle="1" w:styleId="22">
    <w:name w:val="页脚 Char"/>
    <w:basedOn w:val="9"/>
    <w:link w:val="5"/>
    <w:qFormat/>
    <w:uiPriority w:val="99"/>
    <w:rPr>
      <w:sz w:val="18"/>
      <w:szCs w:val="18"/>
    </w:rPr>
  </w:style>
  <w:style w:type="paragraph" w:styleId="23">
    <w:name w:val="No Spacing"/>
    <w:link w:val="24"/>
    <w:qFormat/>
    <w:uiPriority w:val="1"/>
    <w:rPr>
      <w:rFonts w:asciiTheme="minorHAnsi" w:hAnsiTheme="minorHAnsi" w:eastAsiaTheme="minorEastAsia" w:cstheme="minorBidi"/>
      <w:sz w:val="22"/>
      <w:szCs w:val="22"/>
      <w:lang w:val="en-US" w:eastAsia="zh-CN" w:bidi="ar-SA"/>
    </w:rPr>
  </w:style>
  <w:style w:type="character" w:customStyle="1" w:styleId="24">
    <w:name w:val="无间隔 Char"/>
    <w:basedOn w:val="9"/>
    <w:link w:val="23"/>
    <w:qFormat/>
    <w:uiPriority w:val="1"/>
    <w:rPr>
      <w:kern w:val="0"/>
      <w:sz w:val="22"/>
    </w:rPr>
  </w:style>
  <w:style w:type="paragraph" w:customStyle="1" w:styleId="25">
    <w:name w:val="表格内容"/>
    <w:basedOn w:val="2"/>
    <w:qFormat/>
    <w:uiPriority w:val="0"/>
    <w:pPr>
      <w:suppressLineNumbers/>
      <w:suppressAutoHyphens/>
      <w:jc w:val="left"/>
    </w:pPr>
    <w:rPr>
      <w:rFonts w:cs="Tahoma"/>
      <w:kern w:val="0"/>
      <w:sz w:val="24"/>
    </w:rPr>
  </w:style>
  <w:style w:type="character" w:customStyle="1" w:styleId="26">
    <w:name w:val="正文文本 Char"/>
    <w:basedOn w:val="9"/>
    <w:link w:val="2"/>
    <w:qFormat/>
    <w:uiPriority w:val="0"/>
    <w:rPr>
      <w:rFonts w:ascii="Times New Roman" w:hAnsi="Times New Roman" w:eastAsia="宋体" w:cs="Times New Roman"/>
      <w:szCs w:val="24"/>
    </w:rPr>
  </w:style>
  <w:style w:type="character" w:customStyle="1" w:styleId="27">
    <w:name w:val="批注框文本 Char"/>
    <w:basedOn w:val="9"/>
    <w:link w:val="4"/>
    <w:semiHidden/>
    <w:qFormat/>
    <w:uiPriority w:val="99"/>
    <w:rPr>
      <w:rFonts w:ascii="Times New Roman" w:hAnsi="Times New Roman" w:eastAsia="宋体" w:cs="Times New Roman"/>
      <w:sz w:val="18"/>
      <w:szCs w:val="18"/>
    </w:rPr>
  </w:style>
  <w:style w:type="paragraph" w:customStyle="1" w:styleId="28">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29">
    <w:name w:val="sel"/>
    <w:basedOn w:val="9"/>
    <w:qFormat/>
    <w:uiPriority w:val="0"/>
  </w:style>
  <w:style w:type="character" w:customStyle="1" w:styleId="30">
    <w:name w:val="re"/>
    <w:basedOn w:val="9"/>
    <w:qFormat/>
    <w:uiPriority w:val="0"/>
    <w:rPr>
      <w:color w:val="666666"/>
      <w:sz w:val="19"/>
      <w:szCs w:val="19"/>
    </w:rPr>
  </w:style>
  <w:style w:type="character" w:customStyle="1" w:styleId="31">
    <w:name w:val="wj"/>
    <w:basedOn w:val="9"/>
    <w:qFormat/>
    <w:uiPriority w:val="0"/>
    <w:rPr>
      <w:color w:val="666666"/>
      <w:sz w:val="19"/>
      <w:szCs w:val="19"/>
      <w:bdr w:val="single" w:color="D2D2D2" w:sz="6" w:space="0"/>
    </w:rPr>
  </w:style>
  <w:style w:type="character" w:customStyle="1" w:styleId="32">
    <w:name w:val="tip"/>
    <w:basedOn w:val="9"/>
    <w:qFormat/>
    <w:uiPriority w:val="0"/>
    <w:rPr>
      <w:color w:val="FF2C2C"/>
      <w:sz w:val="19"/>
      <w:szCs w:val="19"/>
    </w:rPr>
  </w:style>
  <w:style w:type="character" w:customStyle="1" w:styleId="33">
    <w:name w:val="tit10"/>
    <w:basedOn w:val="9"/>
    <w:qFormat/>
    <w:uiPriority w:val="0"/>
  </w:style>
  <w:style w:type="character" w:customStyle="1" w:styleId="34">
    <w:name w:val="tit11"/>
    <w:basedOn w:val="9"/>
    <w:qFormat/>
    <w:uiPriority w:val="0"/>
    <w:rPr>
      <w:b/>
      <w:bCs/>
      <w:color w:val="333333"/>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5476</Words>
  <Characters>5772</Characters>
  <Lines>41</Lines>
  <Paragraphs>11</Paragraphs>
  <TotalTime>1</TotalTime>
  <ScaleCrop>false</ScaleCrop>
  <LinksUpToDate>false</LinksUpToDate>
  <CharactersWithSpaces>5792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2021-09-07T02:47:00Z</dcterms:created>
  <dc:creator>hjfk</dc:creator>
  <cp:lastModifiedBy>神婆</cp:lastModifiedBy>
  <cp:lastPrinted>2021-10-14T00:21:00Z</cp:lastPrinted>
  <dcterms:modified xsi:type="dcterms:W3CDTF">2022-10-21T02:45:19Z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334D643365B4433A8DB76EA8A4A804F3</vt:lpwstr>
  </property>
</Properties>
</file>