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u w:val="none"/>
        </w:rPr>
      </w:pPr>
      <w:r>
        <w:rPr>
          <w:rFonts w:eastAsia="仿宋_GB2312"/>
          <w:bCs/>
          <w:kern w:val="0"/>
          <w:sz w:val="32"/>
          <w:szCs w:val="32"/>
          <w:u w:val="none"/>
        </w:rPr>
        <w:t>附件</w:t>
      </w:r>
      <w:r>
        <w:rPr>
          <w:rFonts w:hint="eastAsia" w:eastAsia="仿宋_GB2312"/>
          <w:bCs/>
          <w:kern w:val="0"/>
          <w:sz w:val="32"/>
          <w:szCs w:val="32"/>
          <w:u w:val="none"/>
        </w:rPr>
        <w:t>3</w:t>
      </w:r>
      <w:r>
        <w:rPr>
          <w:rFonts w:eastAsia="仿宋_GB2312"/>
          <w:bCs/>
          <w:kern w:val="0"/>
          <w:sz w:val="32"/>
          <w:szCs w:val="32"/>
          <w:u w:val="none"/>
        </w:rPr>
        <w:t>：</w:t>
      </w:r>
    </w:p>
    <w:p>
      <w:pPr>
        <w:widowControl/>
        <w:spacing w:line="600" w:lineRule="exact"/>
        <w:jc w:val="left"/>
        <w:rPr>
          <w:rFonts w:eastAsia="仿宋_GB2312"/>
          <w:bCs/>
          <w:kern w:val="0"/>
          <w:sz w:val="32"/>
          <w:szCs w:val="32"/>
          <w:u w:val="none"/>
        </w:rPr>
      </w:pPr>
    </w:p>
    <w:p>
      <w:pPr>
        <w:widowControl/>
        <w:spacing w:line="600" w:lineRule="exact"/>
        <w:jc w:val="center"/>
        <w:rPr>
          <w:rFonts w:eastAsia="方正小标宋_GBK"/>
          <w:bCs/>
          <w:kern w:val="0"/>
          <w:sz w:val="44"/>
          <w:szCs w:val="44"/>
          <w:u w:val="none"/>
        </w:rPr>
      </w:pPr>
      <w:r>
        <w:rPr>
          <w:rFonts w:eastAsia="黑体"/>
          <w:sz w:val="32"/>
          <w:szCs w:val="32"/>
          <w:u w:val="none"/>
        </w:rPr>
        <w:t xml:space="preserve"> </w:t>
      </w:r>
      <w:r>
        <w:rPr>
          <w:rFonts w:hint="eastAsia" w:eastAsia="方正小标宋_GBK"/>
          <w:bCs/>
          <w:kern w:val="0"/>
          <w:sz w:val="44"/>
          <w:szCs w:val="44"/>
          <w:u w:val="none"/>
          <w:lang w:val="en-US" w:eastAsia="zh-CN"/>
        </w:rPr>
        <w:t>2021</w:t>
      </w:r>
      <w:r>
        <w:rPr>
          <w:rFonts w:eastAsia="方正小标宋_GBK"/>
          <w:bCs/>
          <w:kern w:val="0"/>
          <w:sz w:val="44"/>
          <w:szCs w:val="44"/>
          <w:u w:val="none"/>
        </w:rPr>
        <w:t>年</w:t>
      </w:r>
      <w:r>
        <w:rPr>
          <w:rFonts w:hint="eastAsia" w:eastAsia="方正小标宋_GBK"/>
          <w:bCs/>
          <w:kern w:val="0"/>
          <w:sz w:val="44"/>
          <w:szCs w:val="44"/>
          <w:u w:val="none"/>
          <w:lang w:eastAsia="zh-CN"/>
        </w:rPr>
        <w:t>永州市回龙圩管理区人力资源和社会保障局</w:t>
      </w:r>
      <w:r>
        <w:rPr>
          <w:rFonts w:eastAsia="方正小标宋_GBK"/>
          <w:bCs/>
          <w:kern w:val="0"/>
          <w:sz w:val="44"/>
          <w:szCs w:val="44"/>
          <w:u w:val="none"/>
        </w:rPr>
        <w:t>预算</w:t>
      </w:r>
    </w:p>
    <w:p>
      <w:pPr>
        <w:widowControl/>
        <w:spacing w:line="600" w:lineRule="exact"/>
        <w:jc w:val="center"/>
        <w:rPr>
          <w:rFonts w:eastAsia="楷体_GB2312"/>
          <w:bCs/>
          <w:kern w:val="0"/>
          <w:sz w:val="32"/>
          <w:szCs w:val="32"/>
          <w:u w:val="none"/>
        </w:rPr>
      </w:pPr>
    </w:p>
    <w:p>
      <w:pPr>
        <w:widowControl/>
        <w:spacing w:line="600" w:lineRule="exact"/>
        <w:jc w:val="center"/>
        <w:rPr>
          <w:rFonts w:eastAsia="黑体"/>
          <w:bCs/>
          <w:kern w:val="0"/>
          <w:sz w:val="32"/>
          <w:szCs w:val="32"/>
          <w:u w:val="none"/>
        </w:rPr>
      </w:pPr>
      <w:r>
        <w:rPr>
          <w:rFonts w:eastAsia="黑体"/>
          <w:bCs/>
          <w:kern w:val="0"/>
          <w:sz w:val="32"/>
          <w:szCs w:val="32"/>
          <w:u w:val="none"/>
        </w:rPr>
        <w:t>目 录</w:t>
      </w:r>
    </w:p>
    <w:p>
      <w:pPr>
        <w:widowControl/>
        <w:spacing w:line="600" w:lineRule="exact"/>
        <w:ind w:firstLine="643" w:firstLineChars="200"/>
        <w:rPr>
          <w:rFonts w:eastAsia="方正小标宋_GBK"/>
          <w:bCs/>
          <w:kern w:val="0"/>
          <w:sz w:val="32"/>
          <w:szCs w:val="32"/>
          <w:u w:val="none"/>
        </w:rPr>
      </w:pPr>
      <w:r>
        <w:rPr>
          <w:rFonts w:eastAsia="仿宋_GB2312"/>
          <w:b/>
          <w:bCs/>
          <w:kern w:val="0"/>
          <w:sz w:val="32"/>
          <w:szCs w:val="32"/>
          <w:u w:val="none"/>
        </w:rPr>
        <w:t xml:space="preserve">第一部分 </w:t>
      </w:r>
      <w:r>
        <w:rPr>
          <w:rFonts w:hint="eastAsia" w:eastAsia="方正小标宋_GBK"/>
          <w:b/>
          <w:bCs/>
          <w:kern w:val="0"/>
          <w:sz w:val="32"/>
          <w:szCs w:val="32"/>
          <w:u w:val="none"/>
          <w:lang w:val="en-US" w:eastAsia="zh-CN"/>
        </w:rPr>
        <w:t>2021</w:t>
      </w:r>
      <w:r>
        <w:rPr>
          <w:rFonts w:eastAsia="仿宋_GB2312"/>
          <w:b/>
          <w:bCs/>
          <w:kern w:val="0"/>
          <w:sz w:val="32"/>
          <w:szCs w:val="32"/>
          <w:u w:val="none"/>
        </w:rPr>
        <w:t>年部门预算说明</w:t>
      </w:r>
    </w:p>
    <w:p>
      <w:pPr>
        <w:widowControl/>
        <w:spacing w:line="600" w:lineRule="exact"/>
        <w:ind w:firstLine="643" w:firstLineChars="200"/>
        <w:jc w:val="left"/>
        <w:rPr>
          <w:rFonts w:eastAsia="仿宋_GB2312"/>
          <w:b/>
          <w:bCs/>
          <w:kern w:val="0"/>
          <w:sz w:val="32"/>
          <w:szCs w:val="32"/>
          <w:u w:val="none"/>
        </w:rPr>
      </w:pPr>
      <w:r>
        <w:rPr>
          <w:rFonts w:eastAsia="仿宋_GB2312"/>
          <w:b/>
          <w:bCs/>
          <w:kern w:val="0"/>
          <w:sz w:val="32"/>
          <w:szCs w:val="32"/>
          <w:u w:val="none"/>
        </w:rPr>
        <w:t xml:space="preserve">第二部分 </w:t>
      </w:r>
      <w:r>
        <w:rPr>
          <w:rFonts w:hint="eastAsia" w:eastAsia="仿宋_GB2312"/>
          <w:b/>
          <w:bCs/>
          <w:kern w:val="0"/>
          <w:sz w:val="32"/>
          <w:szCs w:val="32"/>
          <w:u w:val="none"/>
          <w:lang w:val="en-US" w:eastAsia="zh-CN"/>
        </w:rPr>
        <w:t>2021</w:t>
      </w:r>
      <w:r>
        <w:rPr>
          <w:rFonts w:eastAsia="仿宋_GB2312"/>
          <w:b/>
          <w:bCs/>
          <w:kern w:val="0"/>
          <w:sz w:val="32"/>
          <w:szCs w:val="32"/>
          <w:u w:val="none"/>
        </w:rPr>
        <w:t>年部门预算表</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1、部门收支总体情况表</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2、部门收入总体情况表</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3、部门支出总体情况表</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4、财政拨款收支情况表</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5、一般公共预算支出表</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6、一般公共预算基本支出表</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7、一般公共预算“三公”经费支出表</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8、政府性基金预算支出情况表</w:t>
      </w:r>
    </w:p>
    <w:p>
      <w:pPr>
        <w:widowControl/>
        <w:spacing w:line="600" w:lineRule="exact"/>
        <w:ind w:firstLine="640" w:firstLineChars="200"/>
        <w:rPr>
          <w:rFonts w:eastAsia="仿宋_GB2312"/>
          <w:bCs/>
          <w:kern w:val="0"/>
          <w:sz w:val="32"/>
          <w:szCs w:val="32"/>
          <w:u w:val="none"/>
        </w:rPr>
      </w:pPr>
      <w:r>
        <w:rPr>
          <w:rFonts w:eastAsia="仿宋_GB2312"/>
          <w:bCs/>
          <w:kern w:val="0"/>
          <w:sz w:val="32"/>
          <w:szCs w:val="32"/>
          <w:u w:val="none"/>
        </w:rPr>
        <w:t>注：以上部门预算报表中，空表表示本部门无相关收支情况。</w:t>
      </w:r>
    </w:p>
    <w:p>
      <w:pPr>
        <w:widowControl/>
        <w:spacing w:line="600" w:lineRule="exact"/>
        <w:ind w:firstLine="640" w:firstLineChars="200"/>
        <w:rPr>
          <w:rFonts w:hint="eastAsia" w:eastAsia="仿宋_GB2312"/>
          <w:bCs/>
          <w:kern w:val="0"/>
          <w:sz w:val="32"/>
          <w:szCs w:val="32"/>
          <w:u w:val="none"/>
        </w:rPr>
      </w:pPr>
    </w:p>
    <w:p>
      <w:pPr>
        <w:widowControl/>
        <w:spacing w:line="600" w:lineRule="exact"/>
        <w:rPr>
          <w:rFonts w:hint="eastAsia" w:eastAsia="仿宋_GB2312"/>
          <w:bCs/>
          <w:kern w:val="0"/>
          <w:sz w:val="32"/>
          <w:szCs w:val="32"/>
          <w:u w:val="none"/>
        </w:rPr>
      </w:pPr>
    </w:p>
    <w:p>
      <w:pPr>
        <w:widowControl/>
        <w:spacing w:line="600" w:lineRule="exact"/>
        <w:rPr>
          <w:rFonts w:hint="eastAsia" w:eastAsia="仿宋_GB2312"/>
          <w:bCs/>
          <w:kern w:val="0"/>
          <w:sz w:val="32"/>
          <w:szCs w:val="32"/>
          <w:u w:val="none"/>
        </w:rPr>
      </w:pPr>
    </w:p>
    <w:p>
      <w:pPr>
        <w:widowControl/>
        <w:spacing w:line="600" w:lineRule="exact"/>
        <w:rPr>
          <w:rFonts w:hint="eastAsia" w:eastAsia="仿宋_GB2312"/>
          <w:bCs/>
          <w:kern w:val="0"/>
          <w:sz w:val="32"/>
          <w:szCs w:val="32"/>
          <w:u w:val="none"/>
        </w:rPr>
      </w:pPr>
    </w:p>
    <w:p>
      <w:pPr>
        <w:widowControl/>
        <w:spacing w:line="600" w:lineRule="exact"/>
        <w:rPr>
          <w:rFonts w:hint="eastAsia" w:eastAsia="仿宋_GB2312"/>
          <w:bCs/>
          <w:kern w:val="0"/>
          <w:sz w:val="32"/>
          <w:szCs w:val="32"/>
          <w:u w:val="none"/>
        </w:rPr>
      </w:pPr>
    </w:p>
    <w:p>
      <w:pPr>
        <w:widowControl/>
        <w:spacing w:line="600" w:lineRule="exact"/>
        <w:rPr>
          <w:rFonts w:eastAsia="仿宋_GB2312"/>
          <w:bCs/>
          <w:kern w:val="0"/>
          <w:sz w:val="32"/>
          <w:szCs w:val="32"/>
          <w:u w:val="none"/>
        </w:rPr>
      </w:pPr>
    </w:p>
    <w:p>
      <w:pPr>
        <w:widowControl/>
        <w:spacing w:line="600" w:lineRule="exact"/>
        <w:jc w:val="center"/>
        <w:rPr>
          <w:rFonts w:eastAsia="方正小标宋_GBK"/>
          <w:bCs/>
          <w:kern w:val="0"/>
          <w:sz w:val="36"/>
          <w:szCs w:val="36"/>
          <w:u w:val="none"/>
        </w:rPr>
      </w:pPr>
    </w:p>
    <w:p>
      <w:pPr>
        <w:widowControl/>
        <w:spacing w:line="600" w:lineRule="exact"/>
        <w:jc w:val="center"/>
        <w:rPr>
          <w:rFonts w:eastAsia="方正小标宋_GBK"/>
          <w:bCs/>
          <w:kern w:val="0"/>
          <w:sz w:val="36"/>
          <w:szCs w:val="36"/>
          <w:u w:val="none"/>
        </w:rPr>
      </w:pPr>
      <w:r>
        <w:rPr>
          <w:rFonts w:eastAsia="方正小标宋_GBK"/>
          <w:bCs/>
          <w:kern w:val="0"/>
          <w:sz w:val="36"/>
          <w:szCs w:val="36"/>
          <w:u w:val="none"/>
        </w:rPr>
        <w:t>第一部分 部门预算说明</w:t>
      </w:r>
    </w:p>
    <w:p>
      <w:pPr>
        <w:widowControl/>
        <w:spacing w:line="600" w:lineRule="exact"/>
        <w:jc w:val="left"/>
        <w:rPr>
          <w:rFonts w:eastAsia="仿宋_GB2312"/>
          <w:b/>
          <w:bCs/>
          <w:kern w:val="0"/>
          <w:sz w:val="32"/>
          <w:szCs w:val="32"/>
          <w:u w:val="none"/>
        </w:rPr>
      </w:pP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一、部门基本概况</w:t>
      </w:r>
    </w:p>
    <w:p>
      <w:pPr>
        <w:widowControl/>
        <w:spacing w:line="600" w:lineRule="exact"/>
        <w:ind w:firstLine="630" w:firstLineChars="196"/>
        <w:jc w:val="left"/>
        <w:rPr>
          <w:rFonts w:eastAsia="楷体_GB2312"/>
          <w:b/>
          <w:sz w:val="32"/>
          <w:szCs w:val="32"/>
          <w:u w:val="none"/>
        </w:rPr>
      </w:pPr>
      <w:r>
        <w:rPr>
          <w:rFonts w:eastAsia="楷体_GB2312"/>
          <w:b/>
          <w:sz w:val="32"/>
          <w:szCs w:val="32"/>
          <w:u w:val="none"/>
        </w:rPr>
        <w:t>（一）职能职责。</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（一）贯彻执行国家人力资源和社会保障的政策法规和规章，拟订全区人力资源和社会保障事业发展规划、改革方案，起草全区人力资源和社会保障规范性文件，并组织实施和监督检查。</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（二）拟订人力资源市场发展规划和人力资源流动政策，规范人力资源市场，促进人力资源合理流动、有效配置，综合管理人力资源市场和流动调配工作，负责人才开发和管理工作。</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三）负责促进就业工作，完善公共就业服务体系，拟订就业援助政策措施，负责劳动者的职业培训工作，牵头组织实施高校毕业生就业工作，会同有关部门拟订并落实高技能人才、农村实用人才培养和激励政策。</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（四）统筹建立覆盖城乡的社会保障体系，负责养老、失业、医疗、工伤、生育、农村社会保险及补充保险的管理工作；承担社会保险及其补充保险基金的安全监管责任。</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（五）负责就业、失业、社会保险基金预测预警和信息引导，拟订应对预案，实施预防、调节和控制，保持就业形势稳定和社会保险基金总体收支平衡。</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六）贯彻执行机关事业单位人员工资收入分配、津补贴政策和企业职工工资收入分配的调控政策、措施，负责全区政府机关、事业单位工作人员工资、福利待遇的审核、审批工作；贯彻执行机关企事业单位人员福利、工（公）伤和离退休政策。</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七）推进事业单位人事制度改革，拟订并组织实施事业单位人员和机关工勤人员管理政策，参与人才管理工作，执行专业技术人员管理和继续教育政策、措施，牵头推进深化职称制度改革工作，负责高层次专业技术人才选拔和培养工作。</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（八）贯彻落实农民工工作相关政策，会同有关部门拟订农民工工作规划并组织实施，协调解决重点难点问题，维护农民工合法权益。</w:t>
      </w:r>
    </w:p>
    <w:p>
      <w:pPr>
        <w:pStyle w:val="2"/>
        <w:shd w:val="clear" w:color="auto" w:fill="FFFFFF"/>
        <w:spacing w:beforeAutospacing="0" w:afterAutospacing="0" w:line="450" w:lineRule="atLeast"/>
        <w:ind w:firstLine="42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九）完善劳动关系协调机制，实施劳动合同调整的基本规则和劳动合同、集体合同制度的实施规范，组织实施消除非法使用童工政策和女工、未成年工的特殊劳动保护政策，组织实施劳动保障监察，协调劳动者维权工作，依法查处劳动保障监察案件。</w:t>
      </w:r>
    </w:p>
    <w:p>
      <w:pPr>
        <w:spacing w:line="520" w:lineRule="exact"/>
        <w:ind w:firstLine="320" w:firstLineChars="100"/>
        <w:rPr>
          <w:rFonts w:hint="default"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（十）完成区党委、区管委和上级交办的其他工作。</w:t>
      </w:r>
    </w:p>
    <w:p>
      <w:pPr>
        <w:widowControl/>
        <w:spacing w:line="600" w:lineRule="exact"/>
        <w:ind w:firstLine="630" w:firstLineChars="196"/>
        <w:jc w:val="left"/>
        <w:rPr>
          <w:rFonts w:eastAsia="楷体_GB2312"/>
          <w:b/>
          <w:sz w:val="32"/>
          <w:szCs w:val="32"/>
          <w:u w:val="none"/>
        </w:rPr>
      </w:pPr>
      <w:r>
        <w:rPr>
          <w:rFonts w:eastAsia="楷体_GB2312"/>
          <w:b/>
          <w:sz w:val="32"/>
          <w:szCs w:val="32"/>
          <w:u w:val="none"/>
        </w:rPr>
        <w:t>（二）机构设置。</w:t>
      </w:r>
    </w:p>
    <w:p>
      <w:pPr>
        <w:pStyle w:val="2"/>
        <w:shd w:val="clear" w:color="auto" w:fill="FFFFFF"/>
        <w:spacing w:before="0" w:beforeAutospacing="0" w:after="0" w:afterAutospacing="0" w:line="450" w:lineRule="atLeast"/>
        <w:ind w:firstLine="42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根据上述职责任务和人员编制，区人力资源和社会保障局机关设5个内设机构。</w:t>
      </w:r>
    </w:p>
    <w:p>
      <w:pPr>
        <w:pStyle w:val="2"/>
        <w:shd w:val="clear" w:color="auto" w:fill="FFFFFF"/>
        <w:spacing w:before="0" w:beforeAutospacing="0" w:after="0" w:afterAutospacing="0" w:line="450" w:lineRule="atLeast"/>
        <w:ind w:firstLine="42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（一）办公室</w:t>
      </w:r>
    </w:p>
    <w:p>
      <w:pPr>
        <w:pStyle w:val="2"/>
        <w:shd w:val="clear" w:color="auto" w:fill="FFFFFF"/>
        <w:spacing w:before="0" w:beforeAutospacing="0" w:after="0" w:afterAutospacing="0" w:line="450" w:lineRule="atLeast"/>
        <w:ind w:firstLine="42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负责局机关政务、文电、综合性会议会务、人事、财务、印鉴、档案、政务督办、行政后勤、安全保卫、信访工作；负责本局工作报告、总结、发展规划、年度计划等综合性文件材料草拟及信息调研工作；负责人力资源和社会保障信息化建设。</w:t>
      </w:r>
    </w:p>
    <w:p>
      <w:pPr>
        <w:pStyle w:val="2"/>
        <w:numPr>
          <w:ilvl w:val="0"/>
          <w:numId w:val="1"/>
        </w:numPr>
        <w:shd w:val="clear" w:color="auto" w:fill="FFFFFF"/>
        <w:spacing w:before="0" w:beforeAutospacing="0" w:after="0" w:afterAutospacing="0" w:line="450" w:lineRule="atLeast"/>
        <w:ind w:firstLine="42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公务员与事业单位管理工资福利股</w:t>
      </w:r>
    </w:p>
    <w:p>
      <w:pPr>
        <w:pStyle w:val="2"/>
        <w:numPr>
          <w:ilvl w:val="0"/>
          <w:numId w:val="0"/>
        </w:numPr>
        <w:shd w:val="clear" w:color="auto" w:fill="FFFFFF"/>
        <w:spacing w:before="0" w:beforeAutospacing="0" w:after="0" w:afterAutospacing="0" w:line="450" w:lineRule="atLeast"/>
        <w:ind w:firstLine="640" w:firstLineChars="20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负责全区机关公务员综合管理；按干部管理权限，组织开展非领导职务公务员（含参照公务员法管理人员）录用、考核、奖惩、培训、职务管理、学历管理、辞职辞退、机关事业单位人员流动调配、年报统计等工作；承办法定、委托或授权管理领导人员的人事任免事项；负责公务员奖励表彰等综合管理工作；按干部管理权限，负责人才引进和招聘工作；落实乡土人才计划；负责机关事业单位人事关系监督与管理；负责计划安置军队转业干部的接收、安置及就业、培训、管理服务工作。</w:t>
      </w:r>
    </w:p>
    <w:p>
      <w:pPr>
        <w:pStyle w:val="2"/>
        <w:shd w:val="clear" w:color="auto" w:fill="FFFFFF"/>
        <w:spacing w:before="0" w:beforeAutospacing="0" w:after="0" w:afterAutospacing="0" w:line="450" w:lineRule="atLeast"/>
        <w:ind w:firstLine="42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负责事业单位人事制度改革、专业技术人员职称评聘管理工作；综合管理全区职称工作，组织实施各类专业技术人员职务聘任制度、专业技术资格评定考试制度和专业技术人员执（职）业资格制度；综合管理事业单位工作人员及机关工勤人员考核、奖惩、辞聘、解聘、年报统计工作；按管理权限，负责事业单位职员职务确定、晋升及管理工作；组织实施专业技术人员继续教育、职员培训工作；综合管理全区专业技术人员的对外交流和国外智力引进工作；组织实施机关事业单位工勤人员的职业技能等级考核工作。</w:t>
      </w:r>
    </w:p>
    <w:p>
      <w:pPr>
        <w:pStyle w:val="2"/>
        <w:shd w:val="clear" w:color="auto" w:fill="FFFFFF"/>
        <w:spacing w:before="0" w:beforeAutospacing="0" w:after="0" w:afterAutospacing="0" w:line="450" w:lineRule="atLeast"/>
        <w:ind w:firstLine="42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负责国家工资政策的执行与监督管理；负责全区机关事业单位工作人员工资、福利、退休管理服务工作；组织实施全区机关事业单位津（补）贴、奖金政策；负责工资年报统计、工资关系接转、机关事业单位工作人员死亡抚恤金和遗属生活困难补助工作；负责机关事业单位工作人员工资调整、工资统发审核、工龄核定及管理工作；负责办理机关事业单位离退休人员增加离退休费工作；贯彻执行企业职工工资收入分配的调控政策和退休审批；负责机关事业单位在职人员的退休审批工作和高级专家延长离退休时间的审批工作；参与医疗、住房制度、养老保险制度改革等工作。</w:t>
      </w:r>
    </w:p>
    <w:p>
      <w:pPr>
        <w:pStyle w:val="2"/>
        <w:shd w:val="clear" w:color="auto" w:fill="FFFFFF"/>
        <w:spacing w:before="0" w:beforeAutospacing="0" w:after="0" w:afterAutospacing="0" w:line="450" w:lineRule="atLeast"/>
        <w:ind w:firstLine="320" w:firstLineChars="10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（三）劳动就业与社保股</w:t>
      </w:r>
    </w:p>
    <w:p>
      <w:pPr>
        <w:pStyle w:val="2"/>
        <w:shd w:val="clear" w:color="auto" w:fill="FFFFFF"/>
        <w:spacing w:before="0" w:beforeAutospacing="0" w:after="0" w:afterAutospacing="0" w:line="450" w:lineRule="atLeast"/>
        <w:ind w:firstLine="42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拟订全区城乡就业及劳务开发规划、人力资源市场发展规划及年度计划，组织实施统筹城乡就业政策和农民工政策发展规划；综合管理人力资源市场；指导、监督、管理职业中介机构和劳务经纪人队伍建设；协助开展全区职业技能培训检查及指导工作；负责农村劳动力开发及劳务品牌建设工作；参与协调涉及农民工维权的重大事件；指导、协调做好农民工返乡创业服务工作。</w:t>
      </w:r>
    </w:p>
    <w:p>
      <w:pPr>
        <w:pStyle w:val="2"/>
        <w:numPr>
          <w:ilvl w:val="0"/>
          <w:numId w:val="0"/>
        </w:numPr>
        <w:shd w:val="clear" w:color="auto" w:fill="FFFFFF"/>
        <w:spacing w:before="0" w:beforeAutospacing="0" w:after="0" w:afterAutospacing="0" w:line="450" w:lineRule="atLeast"/>
        <w:ind w:firstLine="320" w:firstLineChars="10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（四）失业保险股</w:t>
      </w:r>
    </w:p>
    <w:p>
      <w:pPr>
        <w:pStyle w:val="2"/>
        <w:numPr>
          <w:ilvl w:val="0"/>
          <w:numId w:val="0"/>
        </w:numPr>
        <w:shd w:val="clear" w:color="auto" w:fill="FFFFFF"/>
        <w:spacing w:before="0" w:beforeAutospacing="0" w:after="0" w:afterAutospacing="0" w:line="450" w:lineRule="atLeast"/>
        <w:ind w:firstLine="640" w:firstLineChars="200"/>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规划完善就业服务事业的发展，研究提出城乡劳动者就业的基本思路，规划指导劳动力市场、乡（镇）街道社区劳动保障平台建设，逐步实现城乡就业一体化；</w:t>
      </w:r>
    </w:p>
    <w:p>
      <w:pPr>
        <w:pStyle w:val="2"/>
        <w:numPr>
          <w:ilvl w:val="0"/>
          <w:numId w:val="0"/>
        </w:numPr>
        <w:shd w:val="clear" w:color="auto" w:fill="FFFFFF"/>
        <w:spacing w:before="0" w:beforeAutospacing="0" w:after="0" w:afterAutospacing="0" w:line="450" w:lineRule="atLeast"/>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贯彻落实国家、省出台的各项就业再就业政策，实施再就业工程，拟定再就业省补助资金分配方案，监督管理区就业补助资金的使用；建立健全就业再就业培训机制，积极推行劳动预备和职业资格证书制度；加强失业保险基金的管理，组织落实失业保险的各项政策，指导、监督、检查本级失业保险经办机构业务工作。</w:t>
      </w:r>
    </w:p>
    <w:p>
      <w:pPr>
        <w:pStyle w:val="2"/>
        <w:numPr>
          <w:ilvl w:val="0"/>
          <w:numId w:val="2"/>
        </w:numPr>
        <w:shd w:val="clear" w:color="auto" w:fill="FFFFFF"/>
        <w:spacing w:before="0" w:beforeAutospacing="0" w:after="0" w:afterAutospacing="0" w:line="450" w:lineRule="atLeast"/>
        <w:rPr>
          <w:rFonts w:hint="eastAsia"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劳动保障监察股</w:t>
      </w:r>
    </w:p>
    <w:p>
      <w:pPr>
        <w:pStyle w:val="2"/>
        <w:numPr>
          <w:ilvl w:val="0"/>
          <w:numId w:val="0"/>
        </w:numPr>
        <w:shd w:val="clear" w:color="auto" w:fill="FFFFFF"/>
        <w:spacing w:before="0" w:beforeAutospacing="0" w:after="0" w:afterAutospacing="0" w:line="450" w:lineRule="atLeast"/>
        <w:rPr>
          <w:rFonts w:hint="default"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kern w:val="2"/>
          <w:sz w:val="32"/>
          <w:szCs w:val="32"/>
          <w:u w:val="none"/>
          <w:lang w:val="en-US" w:eastAsia="zh-CN" w:bidi="ar-SA"/>
        </w:rPr>
        <w:t xml:space="preserve">    宣传劳动保障法律、</w:t>
      </w:r>
      <w:r>
        <w:rPr>
          <w:rFonts w:hint="eastAsia" w:ascii="Times New Roman" w:hAnsi="Times New Roman" w:eastAsia="仿宋_GB2312" w:cs="Times New Roman"/>
          <w:kern w:val="2"/>
          <w:sz w:val="32"/>
          <w:szCs w:val="32"/>
          <w:u w:val="none"/>
          <w:lang w:val="en-US" w:eastAsia="zh-CN" w:bidi="ar-SA"/>
        </w:rPr>
        <w:fldChar w:fldCharType="begin"/>
      </w:r>
      <w:r>
        <w:rPr>
          <w:rFonts w:hint="eastAsia" w:ascii="Times New Roman" w:hAnsi="Times New Roman" w:eastAsia="仿宋_GB2312" w:cs="Times New Roman"/>
          <w:kern w:val="2"/>
          <w:sz w:val="32"/>
          <w:szCs w:val="32"/>
          <w:u w:val="none"/>
          <w:lang w:val="en-US" w:eastAsia="zh-CN" w:bidi="ar-SA"/>
        </w:rPr>
        <w:instrText xml:space="preserve"> HYPERLINK "http://www.64365.com/fagui/" \o "法规" \t "http://www.64365.com/zs/360/_blank" </w:instrText>
      </w:r>
      <w:r>
        <w:rPr>
          <w:rFonts w:hint="eastAsia" w:ascii="Times New Roman" w:hAnsi="Times New Roman" w:eastAsia="仿宋_GB2312" w:cs="Times New Roman"/>
          <w:kern w:val="2"/>
          <w:sz w:val="32"/>
          <w:szCs w:val="32"/>
          <w:u w:val="none"/>
          <w:lang w:val="en-US" w:eastAsia="zh-CN" w:bidi="ar-SA"/>
        </w:rPr>
        <w:fldChar w:fldCharType="separate"/>
      </w:r>
      <w:r>
        <w:rPr>
          <w:rFonts w:hint="eastAsia" w:ascii="Times New Roman" w:hAnsi="Times New Roman" w:eastAsia="仿宋_GB2312" w:cs="Times New Roman"/>
          <w:kern w:val="2"/>
          <w:sz w:val="32"/>
          <w:szCs w:val="32"/>
          <w:u w:val="none"/>
          <w:lang w:val="en-US" w:eastAsia="zh-CN" w:bidi="ar-SA"/>
        </w:rPr>
        <w:t>法规</w:t>
      </w:r>
      <w:r>
        <w:rPr>
          <w:rFonts w:hint="eastAsia" w:ascii="Times New Roman" w:hAnsi="Times New Roman" w:eastAsia="仿宋_GB2312" w:cs="Times New Roman"/>
          <w:kern w:val="2"/>
          <w:sz w:val="32"/>
          <w:szCs w:val="32"/>
          <w:u w:val="none"/>
          <w:lang w:val="en-US" w:eastAsia="zh-CN" w:bidi="ar-SA"/>
        </w:rPr>
        <w:fldChar w:fldCharType="end"/>
      </w:r>
      <w:r>
        <w:rPr>
          <w:rFonts w:hint="eastAsia" w:ascii="Times New Roman" w:hAnsi="Times New Roman" w:eastAsia="仿宋_GB2312" w:cs="Times New Roman"/>
          <w:kern w:val="2"/>
          <w:sz w:val="32"/>
          <w:szCs w:val="32"/>
          <w:u w:val="none"/>
          <w:lang w:val="en-US" w:eastAsia="zh-CN" w:bidi="ar-SA"/>
        </w:rPr>
        <w:t>和规章，督促用人单位贯彻执行;检查本行政区域内用人单位遵守劳动保障法律、法规和规章的情况;受理对违反劳动保障法律、法规或者规章的行为的举报、投诉;依法纠正和查处违反劳动保障法律、法规或者规章的行为。</w:t>
      </w:r>
    </w:p>
    <w:p>
      <w:pPr>
        <w:widowControl/>
        <w:spacing w:line="600" w:lineRule="exact"/>
        <w:ind w:firstLine="627" w:firstLineChars="196"/>
        <w:jc w:val="left"/>
        <w:rPr>
          <w:rFonts w:eastAsia="黑体"/>
          <w:kern w:val="0"/>
          <w:sz w:val="32"/>
          <w:szCs w:val="32"/>
          <w:u w:val="none"/>
        </w:rPr>
      </w:pPr>
      <w:r>
        <w:rPr>
          <w:rFonts w:eastAsia="黑体"/>
          <w:kern w:val="0"/>
          <w:sz w:val="32"/>
          <w:szCs w:val="32"/>
          <w:u w:val="none"/>
        </w:rPr>
        <w:t>二、部门预算单位构成</w:t>
      </w:r>
    </w:p>
    <w:p>
      <w:pPr>
        <w:widowControl/>
        <w:spacing w:line="600" w:lineRule="exact"/>
        <w:ind w:firstLine="627" w:firstLineChars="196"/>
        <w:jc w:val="left"/>
        <w:rPr>
          <w:rFonts w:eastAsia="仿宋_GB2312"/>
          <w:sz w:val="32"/>
          <w:szCs w:val="32"/>
          <w:u w:val="none"/>
        </w:rPr>
      </w:pPr>
      <w:r>
        <w:rPr>
          <w:rFonts w:eastAsia="仿宋_GB2312"/>
          <w:sz w:val="32"/>
          <w:szCs w:val="32"/>
          <w:u w:val="none"/>
        </w:rPr>
        <w:t>本部门预算为汇总预算，纳入编制范围的预算单位包括：</w:t>
      </w:r>
    </w:p>
    <w:p>
      <w:pPr>
        <w:widowControl/>
        <w:spacing w:line="600" w:lineRule="exact"/>
        <w:ind w:firstLine="627" w:firstLineChars="196"/>
        <w:rPr>
          <w:rFonts w:eastAsia="仿宋_GB2312"/>
          <w:sz w:val="32"/>
          <w:szCs w:val="32"/>
          <w:u w:val="none"/>
        </w:rPr>
      </w:pPr>
      <w:r>
        <w:rPr>
          <w:rFonts w:hint="eastAsia" w:eastAsia="仿宋_GB2312"/>
          <w:sz w:val="32"/>
          <w:szCs w:val="32"/>
          <w:u w:val="none"/>
          <w:lang w:eastAsia="zh-CN"/>
        </w:rPr>
        <w:t>永州市回龙圩管理区人力资源和社会保障局</w:t>
      </w:r>
      <w:r>
        <w:rPr>
          <w:rFonts w:eastAsia="仿宋_GB2312"/>
          <w:sz w:val="32"/>
          <w:szCs w:val="32"/>
          <w:u w:val="none"/>
        </w:rPr>
        <w:t>只有本级，没有其他预算单位，因此本部门预算仅含本级预算。</w:t>
      </w: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三、部门收支总体情况</w:t>
      </w:r>
    </w:p>
    <w:p>
      <w:pPr>
        <w:widowControl/>
        <w:spacing w:line="600" w:lineRule="exact"/>
        <w:ind w:firstLine="630" w:firstLineChars="196"/>
        <w:rPr>
          <w:rFonts w:eastAsia="仿宋_GB2312"/>
          <w:b w:val="0"/>
          <w:bCs/>
          <w:sz w:val="32"/>
          <w:szCs w:val="32"/>
          <w:u w:val="none"/>
        </w:rPr>
      </w:pPr>
      <w:r>
        <w:rPr>
          <w:rFonts w:eastAsia="楷体_GB2312"/>
          <w:b/>
          <w:sz w:val="32"/>
          <w:szCs w:val="32"/>
          <w:u w:val="none"/>
        </w:rPr>
        <w:t>（一）收入预算：</w:t>
      </w:r>
      <w:r>
        <w:rPr>
          <w:rFonts w:eastAsia="仿宋_GB2312"/>
          <w:sz w:val="32"/>
          <w:szCs w:val="32"/>
          <w:u w:val="none"/>
        </w:rPr>
        <w:t>包括一般公共预算、政府性基金、国有资本经营预算等财政拨款收入，以及经营收入、事业收入等单位资金。</w:t>
      </w:r>
      <w:r>
        <w:rPr>
          <w:rFonts w:hint="eastAsia" w:eastAsia="仿宋_GB2312"/>
          <w:sz w:val="32"/>
          <w:szCs w:val="32"/>
          <w:u w:val="none"/>
          <w:lang w:val="en-US" w:eastAsia="zh-CN"/>
        </w:rPr>
        <w:t>2021</w:t>
      </w:r>
      <w:r>
        <w:rPr>
          <w:rFonts w:eastAsia="仿宋_GB2312"/>
          <w:sz w:val="32"/>
          <w:szCs w:val="32"/>
          <w:u w:val="none"/>
        </w:rPr>
        <w:t>年本部门收入预算</w:t>
      </w:r>
      <w:r>
        <w:rPr>
          <w:rFonts w:hint="eastAsia" w:eastAsia="仿宋_GB2312"/>
          <w:sz w:val="32"/>
          <w:szCs w:val="32"/>
          <w:u w:val="none"/>
          <w:lang w:val="en-US" w:eastAsia="zh-CN"/>
        </w:rPr>
        <w:t>174.79</w:t>
      </w:r>
      <w:r>
        <w:rPr>
          <w:rFonts w:eastAsia="仿宋_GB2312"/>
          <w:sz w:val="32"/>
          <w:szCs w:val="32"/>
          <w:u w:val="none"/>
        </w:rPr>
        <w:t>万元，其中，一般公共预算拨款</w:t>
      </w:r>
      <w:r>
        <w:rPr>
          <w:rFonts w:hint="eastAsia" w:eastAsia="仿宋_GB2312"/>
          <w:sz w:val="32"/>
          <w:szCs w:val="32"/>
          <w:u w:val="none"/>
          <w:lang w:val="en-US" w:eastAsia="zh-CN"/>
        </w:rPr>
        <w:t>174.79</w:t>
      </w:r>
      <w:r>
        <w:rPr>
          <w:rFonts w:eastAsia="仿宋_GB2312"/>
          <w:sz w:val="32"/>
          <w:szCs w:val="32"/>
          <w:u w:val="none"/>
        </w:rPr>
        <w:t>万元，政府性基金预算拨款</w:t>
      </w:r>
      <w:r>
        <w:rPr>
          <w:rFonts w:hint="eastAsia" w:eastAsia="仿宋_GB2312"/>
          <w:sz w:val="32"/>
          <w:szCs w:val="32"/>
          <w:u w:val="none"/>
          <w:lang w:val="en-US" w:eastAsia="zh-CN"/>
        </w:rPr>
        <w:t>0</w:t>
      </w:r>
      <w:r>
        <w:rPr>
          <w:rFonts w:eastAsia="仿宋_GB2312"/>
          <w:sz w:val="32"/>
          <w:szCs w:val="32"/>
          <w:u w:val="none"/>
        </w:rPr>
        <w:t>万元，国有资本经营预算拨款</w:t>
      </w:r>
      <w:r>
        <w:rPr>
          <w:rFonts w:hint="eastAsia" w:eastAsia="仿宋_GB2312"/>
          <w:sz w:val="32"/>
          <w:szCs w:val="32"/>
          <w:u w:val="none"/>
          <w:lang w:val="en-US" w:eastAsia="zh-CN"/>
        </w:rPr>
        <w:t>0</w:t>
      </w:r>
      <w:r>
        <w:rPr>
          <w:rFonts w:eastAsia="仿宋_GB2312"/>
          <w:sz w:val="32"/>
          <w:szCs w:val="32"/>
          <w:u w:val="none"/>
        </w:rPr>
        <w:t xml:space="preserve">万元，纳入专户管理的非税收入   </w:t>
      </w:r>
      <w:r>
        <w:rPr>
          <w:rFonts w:hint="eastAsia" w:eastAsia="仿宋_GB2312"/>
          <w:sz w:val="32"/>
          <w:szCs w:val="32"/>
          <w:u w:val="none"/>
          <w:lang w:val="en-US" w:eastAsia="zh-CN"/>
        </w:rPr>
        <w:t>0</w:t>
      </w:r>
      <w:r>
        <w:rPr>
          <w:rFonts w:eastAsia="仿宋_GB2312"/>
          <w:sz w:val="32"/>
          <w:szCs w:val="32"/>
          <w:u w:val="none"/>
        </w:rPr>
        <w:t>万元。</w:t>
      </w:r>
      <w:r>
        <w:rPr>
          <w:rFonts w:eastAsia="仿宋_GB2312"/>
          <w:b w:val="0"/>
          <w:bCs/>
          <w:sz w:val="32"/>
          <w:szCs w:val="32"/>
          <w:u w:val="none"/>
        </w:rPr>
        <w:t>收入较去年减少</w:t>
      </w:r>
      <w:r>
        <w:rPr>
          <w:rFonts w:hint="eastAsia" w:eastAsia="仿宋_GB2312"/>
          <w:b w:val="0"/>
          <w:bCs/>
          <w:sz w:val="32"/>
          <w:szCs w:val="32"/>
          <w:u w:val="none"/>
          <w:lang w:val="en-US" w:eastAsia="zh-CN"/>
        </w:rPr>
        <w:t>124.56</w:t>
      </w:r>
      <w:r>
        <w:rPr>
          <w:rFonts w:eastAsia="仿宋_GB2312"/>
          <w:b w:val="0"/>
          <w:bCs/>
          <w:sz w:val="32"/>
          <w:szCs w:val="32"/>
          <w:u w:val="none"/>
        </w:rPr>
        <w:t>万元，主要是</w:t>
      </w:r>
      <w:r>
        <w:rPr>
          <w:rFonts w:hint="eastAsia" w:eastAsia="仿宋_GB2312"/>
          <w:b w:val="0"/>
          <w:bCs/>
          <w:sz w:val="32"/>
          <w:szCs w:val="32"/>
          <w:u w:val="none"/>
          <w:lang w:eastAsia="zh-CN"/>
        </w:rPr>
        <w:t>控制支出</w:t>
      </w:r>
      <w:r>
        <w:rPr>
          <w:rFonts w:eastAsia="仿宋_GB2312"/>
          <w:b w:val="0"/>
          <w:bCs/>
          <w:sz w:val="32"/>
          <w:szCs w:val="32"/>
          <w:u w:val="none"/>
        </w:rPr>
        <w:t>。</w:t>
      </w:r>
    </w:p>
    <w:p>
      <w:pPr>
        <w:widowControl/>
        <w:spacing w:line="600" w:lineRule="exact"/>
        <w:ind w:firstLine="630" w:firstLineChars="196"/>
        <w:jc w:val="left"/>
        <w:rPr>
          <w:rFonts w:eastAsia="仿宋_GB2312"/>
          <w:b w:val="0"/>
          <w:bCs/>
          <w:sz w:val="32"/>
          <w:szCs w:val="32"/>
          <w:u w:val="none"/>
        </w:rPr>
      </w:pPr>
      <w:r>
        <w:rPr>
          <w:rFonts w:eastAsia="楷体_GB2312"/>
          <w:b/>
          <w:sz w:val="32"/>
          <w:szCs w:val="32"/>
          <w:u w:val="none"/>
        </w:rPr>
        <w:t>（二）支出预算：</w:t>
      </w:r>
      <w:r>
        <w:rPr>
          <w:rFonts w:hint="eastAsia" w:eastAsia="仿宋_GB2312"/>
          <w:sz w:val="32"/>
          <w:szCs w:val="32"/>
          <w:u w:val="none"/>
          <w:lang w:val="en-US" w:eastAsia="zh-CN"/>
        </w:rPr>
        <w:t>2021</w:t>
      </w:r>
      <w:r>
        <w:rPr>
          <w:rFonts w:eastAsia="仿宋_GB2312"/>
          <w:sz w:val="32"/>
          <w:szCs w:val="32"/>
          <w:u w:val="none"/>
        </w:rPr>
        <w:t>年本部门支出预算</w:t>
      </w:r>
      <w:r>
        <w:rPr>
          <w:rFonts w:hint="eastAsia" w:eastAsia="仿宋_GB2312"/>
          <w:sz w:val="32"/>
          <w:szCs w:val="32"/>
          <w:u w:val="none"/>
          <w:lang w:val="en-US" w:eastAsia="zh-CN"/>
        </w:rPr>
        <w:t>174.79</w:t>
      </w:r>
      <w:r>
        <w:rPr>
          <w:rFonts w:eastAsia="仿宋_GB2312"/>
          <w:sz w:val="32"/>
          <w:szCs w:val="32"/>
          <w:u w:val="none"/>
        </w:rPr>
        <w:t>万元，其中，</w:t>
      </w:r>
      <w:r>
        <w:rPr>
          <w:rFonts w:hint="eastAsia" w:eastAsia="仿宋_GB2312"/>
          <w:sz w:val="32"/>
          <w:szCs w:val="32"/>
          <w:u w:val="none"/>
          <w:lang w:eastAsia="zh-CN"/>
        </w:rPr>
        <w:t>社会保障就业支出</w:t>
      </w:r>
      <w:r>
        <w:rPr>
          <w:rFonts w:hint="eastAsia" w:eastAsia="仿宋_GB2312"/>
          <w:sz w:val="32"/>
          <w:szCs w:val="32"/>
          <w:u w:val="none"/>
          <w:lang w:val="en-US" w:eastAsia="zh-CN"/>
        </w:rPr>
        <w:t>174.79</w:t>
      </w:r>
      <w:r>
        <w:rPr>
          <w:rFonts w:eastAsia="仿宋_GB2312"/>
          <w:sz w:val="32"/>
          <w:szCs w:val="32"/>
          <w:u w:val="none"/>
        </w:rPr>
        <w:t>万元。</w:t>
      </w:r>
      <w:bookmarkStart w:id="0" w:name="_GoBack"/>
      <w:r>
        <w:rPr>
          <w:rFonts w:eastAsia="仿宋_GB2312"/>
          <w:b w:val="0"/>
          <w:bCs/>
          <w:sz w:val="32"/>
          <w:szCs w:val="32"/>
          <w:u w:val="none"/>
        </w:rPr>
        <w:t>支出较去年减少</w:t>
      </w:r>
      <w:r>
        <w:rPr>
          <w:rFonts w:hint="eastAsia" w:eastAsia="仿宋_GB2312"/>
          <w:b w:val="0"/>
          <w:bCs/>
          <w:sz w:val="32"/>
          <w:szCs w:val="32"/>
          <w:u w:val="none"/>
          <w:lang w:val="en-US" w:eastAsia="zh-CN"/>
        </w:rPr>
        <w:t>124.56</w:t>
      </w:r>
      <w:r>
        <w:rPr>
          <w:rFonts w:eastAsia="仿宋_GB2312"/>
          <w:b w:val="0"/>
          <w:bCs/>
          <w:sz w:val="32"/>
          <w:szCs w:val="32"/>
          <w:u w:val="none"/>
        </w:rPr>
        <w:t>万元，主要是</w:t>
      </w:r>
      <w:r>
        <w:rPr>
          <w:rFonts w:hint="eastAsia" w:eastAsia="仿宋_GB2312"/>
          <w:b w:val="0"/>
          <w:bCs/>
          <w:sz w:val="32"/>
          <w:szCs w:val="32"/>
          <w:u w:val="none"/>
          <w:lang w:eastAsia="zh-CN"/>
        </w:rPr>
        <w:t>控制支出</w:t>
      </w:r>
      <w:r>
        <w:rPr>
          <w:rFonts w:eastAsia="仿宋_GB2312"/>
          <w:b w:val="0"/>
          <w:bCs/>
          <w:sz w:val="32"/>
          <w:szCs w:val="32"/>
          <w:u w:val="none"/>
        </w:rPr>
        <w:t>。</w:t>
      </w:r>
    </w:p>
    <w:bookmarkEnd w:id="0"/>
    <w:p>
      <w:pPr>
        <w:widowControl/>
        <w:spacing w:line="600" w:lineRule="exact"/>
        <w:ind w:firstLine="660"/>
        <w:jc w:val="left"/>
        <w:rPr>
          <w:rFonts w:eastAsia="黑体"/>
          <w:sz w:val="32"/>
          <w:szCs w:val="32"/>
          <w:u w:val="none"/>
        </w:rPr>
      </w:pPr>
      <w:r>
        <w:rPr>
          <w:rFonts w:eastAsia="黑体"/>
          <w:sz w:val="32"/>
          <w:szCs w:val="32"/>
          <w:u w:val="none"/>
        </w:rPr>
        <w:t>四、一般公共预算拨款支出</w:t>
      </w:r>
    </w:p>
    <w:p>
      <w:pPr>
        <w:widowControl/>
        <w:spacing w:line="600" w:lineRule="exact"/>
        <w:ind w:firstLine="660"/>
        <w:jc w:val="left"/>
        <w:rPr>
          <w:rFonts w:eastAsia="黑体"/>
          <w:sz w:val="32"/>
          <w:szCs w:val="32"/>
          <w:u w:val="none"/>
        </w:rPr>
      </w:pPr>
      <w:r>
        <w:rPr>
          <w:rFonts w:hint="eastAsia" w:eastAsia="仿宋_GB2312"/>
          <w:sz w:val="32"/>
          <w:szCs w:val="32"/>
          <w:u w:val="none"/>
          <w:lang w:val="en-US" w:eastAsia="zh-CN"/>
        </w:rPr>
        <w:t>2021</w:t>
      </w:r>
      <w:r>
        <w:rPr>
          <w:rFonts w:eastAsia="仿宋_GB2312"/>
          <w:sz w:val="32"/>
          <w:szCs w:val="32"/>
          <w:u w:val="none"/>
        </w:rPr>
        <w:t>年本部门一般公共预算拨款支出预算</w:t>
      </w:r>
      <w:r>
        <w:rPr>
          <w:rFonts w:hint="eastAsia" w:eastAsia="仿宋_GB2312"/>
          <w:sz w:val="32"/>
          <w:szCs w:val="32"/>
          <w:u w:val="none"/>
          <w:lang w:val="en-US" w:eastAsia="zh-CN"/>
        </w:rPr>
        <w:t>174.79</w:t>
      </w:r>
      <w:r>
        <w:rPr>
          <w:rFonts w:eastAsia="仿宋_GB2312"/>
          <w:sz w:val="32"/>
          <w:szCs w:val="32"/>
          <w:u w:val="none"/>
        </w:rPr>
        <w:t>万元，其中，</w:t>
      </w:r>
      <w:r>
        <w:rPr>
          <w:rFonts w:hint="eastAsia" w:eastAsia="仿宋_GB2312"/>
          <w:sz w:val="32"/>
          <w:szCs w:val="32"/>
          <w:u w:val="none"/>
          <w:lang w:eastAsia="zh-CN"/>
        </w:rPr>
        <w:t>社会保障就业支出</w:t>
      </w:r>
      <w:r>
        <w:rPr>
          <w:rFonts w:hint="eastAsia" w:eastAsia="仿宋_GB2312"/>
          <w:sz w:val="32"/>
          <w:szCs w:val="32"/>
          <w:u w:val="none"/>
          <w:lang w:val="en-US" w:eastAsia="zh-CN"/>
        </w:rPr>
        <w:t>174.79</w:t>
      </w:r>
      <w:r>
        <w:rPr>
          <w:rFonts w:eastAsia="仿宋_GB2312"/>
          <w:sz w:val="32"/>
          <w:szCs w:val="32"/>
          <w:u w:val="none"/>
        </w:rPr>
        <w:t>万元，占</w:t>
      </w:r>
      <w:r>
        <w:rPr>
          <w:rFonts w:hint="eastAsia" w:eastAsia="仿宋_GB2312"/>
          <w:sz w:val="32"/>
          <w:szCs w:val="32"/>
          <w:u w:val="none"/>
          <w:lang w:val="en-US" w:eastAsia="zh-CN"/>
        </w:rPr>
        <w:t>100</w:t>
      </w:r>
      <w:r>
        <w:rPr>
          <w:rFonts w:eastAsia="仿宋_GB2312"/>
          <w:sz w:val="32"/>
          <w:szCs w:val="32"/>
          <w:u w:val="none"/>
        </w:rPr>
        <w:t xml:space="preserve"> %。具体安排情况如下：</w:t>
      </w:r>
    </w:p>
    <w:p>
      <w:pPr>
        <w:widowControl/>
        <w:spacing w:line="600" w:lineRule="exact"/>
        <w:ind w:firstLine="660"/>
        <w:jc w:val="left"/>
        <w:rPr>
          <w:rFonts w:eastAsia="黑体"/>
          <w:sz w:val="32"/>
          <w:szCs w:val="32"/>
          <w:u w:val="none"/>
        </w:rPr>
      </w:pPr>
      <w:r>
        <w:rPr>
          <w:rFonts w:eastAsia="楷体_GB2312"/>
          <w:b/>
          <w:sz w:val="32"/>
          <w:szCs w:val="32"/>
          <w:u w:val="none"/>
        </w:rPr>
        <w:t>（一）基本支出：</w:t>
      </w:r>
      <w:r>
        <w:rPr>
          <w:rFonts w:hint="eastAsia" w:eastAsia="仿宋_GB2312"/>
          <w:sz w:val="32"/>
          <w:szCs w:val="32"/>
          <w:u w:val="none"/>
          <w:lang w:val="en-US" w:eastAsia="zh-CN"/>
        </w:rPr>
        <w:t>2021</w:t>
      </w:r>
      <w:r>
        <w:rPr>
          <w:rFonts w:eastAsia="仿宋_GB2312"/>
          <w:sz w:val="32"/>
          <w:szCs w:val="32"/>
          <w:u w:val="none"/>
        </w:rPr>
        <w:t>年本部门基本支出预算数</w:t>
      </w:r>
      <w:r>
        <w:rPr>
          <w:rFonts w:hint="eastAsia" w:eastAsia="仿宋_GB2312"/>
          <w:sz w:val="32"/>
          <w:szCs w:val="32"/>
          <w:u w:val="none"/>
          <w:lang w:val="en-US" w:eastAsia="zh-CN"/>
        </w:rPr>
        <w:t>174.79</w:t>
      </w:r>
      <w:r>
        <w:rPr>
          <w:rFonts w:eastAsia="仿宋_GB2312"/>
          <w:sz w:val="32"/>
          <w:szCs w:val="32"/>
          <w:u w:val="none"/>
        </w:rPr>
        <w:t>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eastAsia="仿宋_GB2312"/>
          <w:sz w:val="32"/>
          <w:szCs w:val="32"/>
          <w:u w:val="none"/>
        </w:rPr>
      </w:pPr>
      <w:r>
        <w:rPr>
          <w:rFonts w:eastAsia="楷体_GB2312"/>
          <w:b/>
          <w:sz w:val="32"/>
          <w:szCs w:val="32"/>
          <w:u w:val="none"/>
        </w:rPr>
        <w:t>（二）项目支出：</w:t>
      </w:r>
      <w:r>
        <w:rPr>
          <w:rFonts w:hint="eastAsia" w:eastAsia="仿宋_GB2312"/>
          <w:sz w:val="32"/>
          <w:szCs w:val="32"/>
          <w:u w:val="none"/>
          <w:lang w:val="en-US" w:eastAsia="zh-CN"/>
        </w:rPr>
        <w:t>2021</w:t>
      </w:r>
      <w:r>
        <w:rPr>
          <w:rFonts w:eastAsia="仿宋_GB2312"/>
          <w:sz w:val="32"/>
          <w:szCs w:val="32"/>
          <w:u w:val="none"/>
        </w:rPr>
        <w:t>年本部门项目支出预算</w:t>
      </w:r>
      <w:r>
        <w:rPr>
          <w:rFonts w:hint="eastAsia" w:eastAsia="仿宋_GB2312"/>
          <w:sz w:val="32"/>
          <w:szCs w:val="32"/>
          <w:u w:val="none"/>
          <w:lang w:val="en-US" w:eastAsia="zh-CN"/>
        </w:rPr>
        <w:t>0</w:t>
      </w:r>
      <w:r>
        <w:rPr>
          <w:rFonts w:eastAsia="仿宋_GB2312"/>
          <w:sz w:val="32"/>
          <w:szCs w:val="32"/>
          <w:u w:val="none"/>
        </w:rPr>
        <w:t>万元。</w:t>
      </w:r>
    </w:p>
    <w:p>
      <w:pPr>
        <w:widowControl/>
        <w:spacing w:line="600" w:lineRule="exact"/>
        <w:ind w:firstLine="660"/>
        <w:jc w:val="left"/>
        <w:rPr>
          <w:rFonts w:eastAsia="黑体"/>
          <w:sz w:val="32"/>
          <w:szCs w:val="32"/>
          <w:u w:val="none"/>
        </w:rPr>
      </w:pPr>
      <w:r>
        <w:rPr>
          <w:rFonts w:eastAsia="黑体"/>
          <w:sz w:val="32"/>
          <w:szCs w:val="32"/>
          <w:u w:val="none"/>
        </w:rPr>
        <w:t>五、政府性基金预算支出</w:t>
      </w:r>
    </w:p>
    <w:p>
      <w:pPr>
        <w:widowControl/>
        <w:spacing w:line="600" w:lineRule="exact"/>
        <w:ind w:firstLine="660"/>
        <w:jc w:val="left"/>
        <w:rPr>
          <w:rFonts w:eastAsia="仿宋_GB2312"/>
          <w:b/>
          <w:sz w:val="32"/>
          <w:szCs w:val="32"/>
          <w:u w:val="none"/>
        </w:rPr>
      </w:pPr>
      <w:r>
        <w:rPr>
          <w:rFonts w:hint="eastAsia" w:eastAsia="仿宋_GB2312"/>
          <w:sz w:val="32"/>
          <w:szCs w:val="32"/>
          <w:u w:val="none"/>
          <w:lang w:val="en-US" w:eastAsia="zh-CN"/>
        </w:rPr>
        <w:t>2021</w:t>
      </w:r>
      <w:r>
        <w:rPr>
          <w:rFonts w:eastAsia="仿宋_GB2312"/>
          <w:sz w:val="32"/>
          <w:szCs w:val="32"/>
          <w:u w:val="none"/>
        </w:rPr>
        <w:t>年本部门政府性基金支出预算</w:t>
      </w:r>
      <w:r>
        <w:rPr>
          <w:rFonts w:hint="eastAsia" w:eastAsia="仿宋_GB2312"/>
          <w:sz w:val="32"/>
          <w:szCs w:val="32"/>
          <w:u w:val="none"/>
          <w:lang w:val="en-US" w:eastAsia="zh-CN"/>
        </w:rPr>
        <w:t>0</w:t>
      </w:r>
      <w:r>
        <w:rPr>
          <w:rFonts w:eastAsia="仿宋_GB2312"/>
          <w:sz w:val="32"/>
          <w:szCs w:val="32"/>
          <w:u w:val="none"/>
        </w:rPr>
        <w:t>万元。</w:t>
      </w:r>
    </w:p>
    <w:p>
      <w:pPr>
        <w:widowControl/>
        <w:spacing w:line="600" w:lineRule="exact"/>
        <w:ind w:firstLine="660"/>
        <w:jc w:val="left"/>
        <w:rPr>
          <w:rFonts w:eastAsia="黑体"/>
          <w:sz w:val="32"/>
          <w:szCs w:val="32"/>
          <w:u w:val="none"/>
        </w:rPr>
      </w:pPr>
      <w:r>
        <w:rPr>
          <w:rFonts w:eastAsia="黑体"/>
          <w:sz w:val="32"/>
          <w:szCs w:val="32"/>
          <w:u w:val="none"/>
        </w:rPr>
        <w:t>六、其他重要事项的情况说明</w:t>
      </w:r>
    </w:p>
    <w:p>
      <w:pPr>
        <w:widowControl/>
        <w:spacing w:line="600" w:lineRule="exact"/>
        <w:ind w:firstLine="660"/>
        <w:jc w:val="left"/>
        <w:rPr>
          <w:rFonts w:eastAsia="仿宋_GB2312"/>
          <w:sz w:val="32"/>
          <w:szCs w:val="32"/>
          <w:u w:val="none"/>
        </w:rPr>
      </w:pPr>
      <w:r>
        <w:rPr>
          <w:rFonts w:eastAsia="楷体_GB2312"/>
          <w:b/>
          <w:sz w:val="32"/>
          <w:szCs w:val="32"/>
          <w:u w:val="none"/>
        </w:rPr>
        <w:t>（一）机关运行经费：</w:t>
      </w:r>
      <w:r>
        <w:rPr>
          <w:rFonts w:hint="eastAsia" w:eastAsia="仿宋_GB2312"/>
          <w:sz w:val="32"/>
          <w:szCs w:val="32"/>
          <w:u w:val="none"/>
          <w:lang w:val="en-US" w:eastAsia="zh-CN"/>
        </w:rPr>
        <w:t>2021</w:t>
      </w:r>
      <w:r>
        <w:rPr>
          <w:rFonts w:eastAsia="仿宋_GB2312"/>
          <w:sz w:val="32"/>
          <w:szCs w:val="32"/>
          <w:u w:val="none"/>
        </w:rPr>
        <w:t>年本部门机关本级机关运行经费</w:t>
      </w:r>
      <w:r>
        <w:rPr>
          <w:rFonts w:hint="eastAsia" w:eastAsia="仿宋_GB2312"/>
          <w:sz w:val="32"/>
          <w:szCs w:val="32"/>
          <w:u w:val="none"/>
          <w:lang w:val="en-US" w:eastAsia="zh-CN"/>
        </w:rPr>
        <w:t>158.73</w:t>
      </w:r>
      <w:r>
        <w:rPr>
          <w:rFonts w:eastAsia="仿宋_GB2312"/>
          <w:sz w:val="32"/>
          <w:szCs w:val="32"/>
          <w:u w:val="none"/>
        </w:rPr>
        <w:t>万元，比上年预算减少</w:t>
      </w:r>
      <w:r>
        <w:rPr>
          <w:rFonts w:hint="eastAsia" w:eastAsia="仿宋_GB2312"/>
          <w:sz w:val="32"/>
          <w:szCs w:val="32"/>
          <w:u w:val="none"/>
          <w:lang w:val="en-US" w:eastAsia="zh-CN"/>
        </w:rPr>
        <w:t>84.3</w:t>
      </w:r>
      <w:r>
        <w:rPr>
          <w:rFonts w:eastAsia="仿宋_GB2312"/>
          <w:sz w:val="32"/>
          <w:szCs w:val="32"/>
          <w:u w:val="none"/>
        </w:rPr>
        <w:t>万元，下降</w:t>
      </w:r>
      <w:r>
        <w:rPr>
          <w:rFonts w:hint="eastAsia" w:eastAsia="仿宋_GB2312"/>
          <w:sz w:val="32"/>
          <w:szCs w:val="32"/>
          <w:u w:val="none"/>
          <w:lang w:val="en-US" w:eastAsia="zh-CN"/>
        </w:rPr>
        <w:t>34.69</w:t>
      </w:r>
      <w:r>
        <w:rPr>
          <w:rFonts w:eastAsia="仿宋_GB2312"/>
          <w:sz w:val="32"/>
          <w:szCs w:val="32"/>
          <w:u w:val="none"/>
        </w:rPr>
        <w:t>%，主要是</w:t>
      </w:r>
      <w:r>
        <w:rPr>
          <w:rFonts w:hint="eastAsia" w:eastAsia="仿宋_GB2312"/>
          <w:sz w:val="32"/>
          <w:szCs w:val="32"/>
          <w:u w:val="none"/>
          <w:lang w:eastAsia="zh-CN"/>
        </w:rPr>
        <w:t>控制支出</w:t>
      </w:r>
      <w:r>
        <w:rPr>
          <w:rFonts w:eastAsia="仿宋_GB2312"/>
          <w:sz w:val="32"/>
          <w:szCs w:val="32"/>
          <w:u w:val="none"/>
        </w:rPr>
        <w:t>。</w:t>
      </w:r>
    </w:p>
    <w:p>
      <w:pPr>
        <w:widowControl/>
        <w:spacing w:line="600" w:lineRule="exact"/>
        <w:ind w:firstLine="660"/>
        <w:rPr>
          <w:rFonts w:eastAsia="仿宋_GB2312"/>
          <w:sz w:val="32"/>
          <w:szCs w:val="32"/>
          <w:u w:val="none"/>
        </w:rPr>
      </w:pPr>
      <w:r>
        <w:rPr>
          <w:rFonts w:eastAsia="楷体_GB2312"/>
          <w:b/>
          <w:sz w:val="32"/>
          <w:szCs w:val="32"/>
          <w:u w:val="none"/>
        </w:rPr>
        <w:t>（二）“三公”经费预算：</w:t>
      </w:r>
      <w:r>
        <w:rPr>
          <w:rFonts w:hint="eastAsia" w:eastAsia="仿宋_GB2312"/>
          <w:sz w:val="32"/>
          <w:szCs w:val="32"/>
          <w:u w:val="none"/>
          <w:lang w:val="en-US" w:eastAsia="zh-CN"/>
        </w:rPr>
        <w:t>2021</w:t>
      </w:r>
      <w:r>
        <w:rPr>
          <w:rFonts w:eastAsia="仿宋_GB2312"/>
          <w:sz w:val="32"/>
          <w:szCs w:val="32"/>
          <w:u w:val="none"/>
        </w:rPr>
        <w:t>年本部门机关本级“三公”经费预算数为</w:t>
      </w:r>
      <w:r>
        <w:rPr>
          <w:rFonts w:hint="eastAsia" w:eastAsia="仿宋_GB2312"/>
          <w:sz w:val="32"/>
          <w:szCs w:val="32"/>
          <w:u w:val="none"/>
          <w:lang w:val="en-US" w:eastAsia="zh-CN"/>
        </w:rPr>
        <w:t>0.8</w:t>
      </w:r>
      <w:r>
        <w:rPr>
          <w:rFonts w:eastAsia="仿宋_GB2312"/>
          <w:sz w:val="32"/>
          <w:szCs w:val="32"/>
          <w:u w:val="none"/>
        </w:rPr>
        <w:t>万元，其中，公务接待费</w:t>
      </w:r>
      <w:r>
        <w:rPr>
          <w:rFonts w:hint="eastAsia" w:eastAsia="仿宋_GB2312"/>
          <w:sz w:val="32"/>
          <w:szCs w:val="32"/>
          <w:u w:val="none"/>
          <w:lang w:val="en-US" w:eastAsia="zh-CN"/>
        </w:rPr>
        <w:t>0.8</w:t>
      </w:r>
      <w:r>
        <w:rPr>
          <w:rFonts w:eastAsia="仿宋_GB2312"/>
          <w:sz w:val="32"/>
          <w:szCs w:val="32"/>
          <w:u w:val="none"/>
        </w:rPr>
        <w:t>万元，公务用车购置及运行费</w:t>
      </w:r>
      <w:r>
        <w:rPr>
          <w:rFonts w:hint="eastAsia" w:eastAsia="仿宋_GB2312"/>
          <w:sz w:val="32"/>
          <w:szCs w:val="32"/>
          <w:u w:val="none"/>
          <w:lang w:val="en-US" w:eastAsia="zh-CN"/>
        </w:rPr>
        <w:t>0</w:t>
      </w:r>
      <w:r>
        <w:rPr>
          <w:rFonts w:eastAsia="仿宋_GB2312"/>
          <w:sz w:val="32"/>
          <w:szCs w:val="32"/>
          <w:u w:val="none"/>
        </w:rPr>
        <w:t>万元，因公出国（境）费</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val="en-US" w:eastAsia="zh-CN"/>
        </w:rPr>
        <w:t>2021</w:t>
      </w:r>
      <w:r>
        <w:rPr>
          <w:rFonts w:eastAsia="仿宋_GB2312"/>
          <w:sz w:val="32"/>
          <w:szCs w:val="32"/>
          <w:u w:val="none"/>
        </w:rPr>
        <w:t>年“三公”经费预算较2020年减少</w:t>
      </w:r>
      <w:r>
        <w:rPr>
          <w:rFonts w:hint="eastAsia" w:eastAsia="仿宋_GB2312"/>
          <w:sz w:val="32"/>
          <w:szCs w:val="32"/>
          <w:u w:val="none"/>
          <w:lang w:val="en-US" w:eastAsia="zh-CN"/>
        </w:rPr>
        <w:t>0.06</w:t>
      </w:r>
      <w:r>
        <w:rPr>
          <w:rFonts w:eastAsia="仿宋_GB2312"/>
          <w:sz w:val="32"/>
          <w:szCs w:val="32"/>
          <w:u w:val="none"/>
        </w:rPr>
        <w:t>万元，主要是</w:t>
      </w:r>
      <w:r>
        <w:rPr>
          <w:rFonts w:hint="eastAsia" w:eastAsia="仿宋_GB2312"/>
          <w:sz w:val="32"/>
          <w:szCs w:val="32"/>
          <w:u w:val="none"/>
          <w:lang w:eastAsia="zh-CN"/>
        </w:rPr>
        <w:t>减少接待</w:t>
      </w:r>
      <w:r>
        <w:rPr>
          <w:rFonts w:eastAsia="仿宋_GB2312"/>
          <w:sz w:val="32"/>
          <w:szCs w:val="32"/>
          <w:u w:val="none"/>
        </w:rPr>
        <w:t>。</w:t>
      </w:r>
    </w:p>
    <w:p>
      <w:pPr>
        <w:widowControl/>
        <w:spacing w:line="600" w:lineRule="exact"/>
        <w:ind w:firstLine="660"/>
        <w:rPr>
          <w:rFonts w:hint="eastAsia" w:eastAsia="仿宋_GB2312"/>
          <w:kern w:val="0"/>
          <w:sz w:val="32"/>
          <w:szCs w:val="32"/>
          <w:u w:val="none"/>
          <w:lang w:eastAsia="zh-CN"/>
        </w:rPr>
      </w:pPr>
      <w:r>
        <w:rPr>
          <w:rFonts w:eastAsia="楷体_GB2312"/>
          <w:b/>
          <w:sz w:val="32"/>
          <w:szCs w:val="32"/>
          <w:u w:val="none"/>
        </w:rPr>
        <w:t>（三）一般性支出情况：</w:t>
      </w:r>
      <w:r>
        <w:rPr>
          <w:rFonts w:hint="eastAsia" w:eastAsia="仿宋_GB2312"/>
          <w:kern w:val="0"/>
          <w:sz w:val="32"/>
          <w:szCs w:val="32"/>
          <w:u w:val="none"/>
          <w:lang w:val="en-US" w:eastAsia="zh-CN"/>
        </w:rPr>
        <w:t>2021</w:t>
      </w:r>
      <w:r>
        <w:rPr>
          <w:rFonts w:eastAsia="仿宋_GB2312"/>
          <w:kern w:val="0"/>
          <w:sz w:val="32"/>
          <w:szCs w:val="32"/>
          <w:u w:val="none"/>
        </w:rPr>
        <w:t>年本部门会议费预算</w:t>
      </w:r>
      <w:r>
        <w:rPr>
          <w:rFonts w:hint="eastAsia" w:eastAsia="仿宋_GB2312"/>
          <w:sz w:val="32"/>
          <w:szCs w:val="32"/>
          <w:u w:val="none"/>
          <w:lang w:val="en-US" w:eastAsia="zh-CN"/>
        </w:rPr>
        <w:t>0</w:t>
      </w:r>
      <w:r>
        <w:rPr>
          <w:rFonts w:eastAsia="仿宋_GB2312"/>
          <w:kern w:val="0"/>
          <w:sz w:val="32"/>
          <w:szCs w:val="32"/>
          <w:u w:val="none"/>
        </w:rPr>
        <w:t>万元；培训费预算</w:t>
      </w:r>
      <w:r>
        <w:rPr>
          <w:rFonts w:hint="eastAsia" w:eastAsia="仿宋_GB2312"/>
          <w:sz w:val="32"/>
          <w:szCs w:val="32"/>
          <w:u w:val="none"/>
          <w:lang w:val="en-US" w:eastAsia="zh-CN"/>
        </w:rPr>
        <w:t>0</w:t>
      </w:r>
      <w:r>
        <w:rPr>
          <w:rFonts w:eastAsia="仿宋_GB2312"/>
          <w:kern w:val="0"/>
          <w:sz w:val="32"/>
          <w:szCs w:val="32"/>
          <w:u w:val="none"/>
        </w:rPr>
        <w:t>万元</w:t>
      </w:r>
      <w:r>
        <w:rPr>
          <w:rFonts w:hint="eastAsia" w:eastAsia="仿宋_GB2312"/>
          <w:kern w:val="0"/>
          <w:sz w:val="32"/>
          <w:szCs w:val="32"/>
          <w:u w:val="none"/>
          <w:lang w:eastAsia="zh-CN"/>
        </w:rPr>
        <w:t>。</w:t>
      </w:r>
    </w:p>
    <w:p>
      <w:pPr>
        <w:widowControl/>
        <w:spacing w:line="600" w:lineRule="exact"/>
        <w:ind w:firstLine="660"/>
        <w:rPr>
          <w:rFonts w:eastAsia="仿宋_GB2312"/>
          <w:sz w:val="32"/>
          <w:szCs w:val="32"/>
          <w:u w:val="none"/>
        </w:rPr>
      </w:pPr>
      <w:r>
        <w:rPr>
          <w:rFonts w:eastAsia="楷体_GB2312"/>
          <w:b/>
          <w:sz w:val="32"/>
          <w:szCs w:val="32"/>
          <w:u w:val="none"/>
        </w:rPr>
        <w:t>（四）政府采购情况：</w:t>
      </w:r>
      <w:r>
        <w:rPr>
          <w:rFonts w:hint="eastAsia" w:eastAsia="仿宋_GB2312"/>
          <w:sz w:val="32"/>
          <w:szCs w:val="32"/>
          <w:u w:val="none"/>
          <w:lang w:val="en-US" w:eastAsia="zh-CN"/>
        </w:rPr>
        <w:t>2021</w:t>
      </w:r>
      <w:r>
        <w:rPr>
          <w:rFonts w:eastAsia="仿宋_GB2312"/>
          <w:sz w:val="32"/>
          <w:szCs w:val="32"/>
          <w:u w:val="none"/>
        </w:rPr>
        <w:t xml:space="preserve">年本部门政府采购预算总额   </w:t>
      </w:r>
      <w:r>
        <w:rPr>
          <w:rFonts w:hint="eastAsia" w:eastAsia="仿宋_GB2312"/>
          <w:sz w:val="32"/>
          <w:szCs w:val="32"/>
          <w:u w:val="none"/>
          <w:lang w:val="en-US" w:eastAsia="zh-CN"/>
        </w:rPr>
        <w:t>0</w:t>
      </w:r>
      <w:r>
        <w:rPr>
          <w:rFonts w:eastAsia="仿宋_GB2312"/>
          <w:sz w:val="32"/>
          <w:szCs w:val="32"/>
          <w:u w:val="none"/>
        </w:rPr>
        <w:t>万元。</w:t>
      </w:r>
    </w:p>
    <w:p>
      <w:pPr>
        <w:widowControl/>
        <w:spacing w:line="600" w:lineRule="exact"/>
        <w:ind w:firstLine="660"/>
        <w:jc w:val="left"/>
        <w:rPr>
          <w:rFonts w:eastAsia="仿宋_GB2312"/>
          <w:bCs/>
          <w:kern w:val="0"/>
          <w:sz w:val="32"/>
          <w:szCs w:val="32"/>
          <w:u w:val="none"/>
        </w:rPr>
      </w:pPr>
      <w:r>
        <w:rPr>
          <w:rFonts w:eastAsia="楷体_GB2312"/>
          <w:b/>
          <w:sz w:val="32"/>
          <w:szCs w:val="32"/>
          <w:u w:val="none"/>
        </w:rPr>
        <w:t>（五）国有资产占用使用及新增资产配置情况：</w:t>
      </w:r>
      <w:r>
        <w:rPr>
          <w:rFonts w:eastAsia="仿宋_GB2312"/>
          <w:sz w:val="32"/>
          <w:szCs w:val="32"/>
          <w:u w:val="none"/>
        </w:rPr>
        <w:t>截至2020年12月底，本部门</w:t>
      </w:r>
      <w:r>
        <w:rPr>
          <w:rFonts w:eastAsia="仿宋_GB2312"/>
          <w:bCs/>
          <w:kern w:val="0"/>
          <w:sz w:val="32"/>
          <w:szCs w:val="32"/>
          <w:u w:val="none"/>
        </w:rPr>
        <w:t>共有公务用车</w:t>
      </w:r>
      <w:r>
        <w:rPr>
          <w:rFonts w:hint="eastAsia" w:eastAsia="仿宋_GB2312"/>
          <w:bCs/>
          <w:kern w:val="0"/>
          <w:sz w:val="32"/>
          <w:szCs w:val="32"/>
          <w:u w:val="none"/>
          <w:lang w:val="en-US" w:eastAsia="zh-CN"/>
        </w:rPr>
        <w:t>0</w:t>
      </w:r>
      <w:r>
        <w:rPr>
          <w:rFonts w:eastAsia="仿宋_GB2312"/>
          <w:bCs/>
          <w:kern w:val="0"/>
          <w:sz w:val="32"/>
          <w:szCs w:val="32"/>
          <w:u w:val="none"/>
        </w:rPr>
        <w:t>辆；单位价值50万元以上通用设备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台，单位价值100万元以上专用设备</w:t>
      </w:r>
      <w:r>
        <w:rPr>
          <w:rFonts w:hint="eastAsia" w:eastAsia="仿宋_GB2312"/>
          <w:bCs/>
          <w:kern w:val="0"/>
          <w:sz w:val="32"/>
          <w:szCs w:val="32"/>
          <w:u w:val="none"/>
          <w:lang w:val="en-US" w:eastAsia="zh-CN"/>
        </w:rPr>
        <w:t>0</w:t>
      </w:r>
      <w:r>
        <w:rPr>
          <w:rFonts w:eastAsia="仿宋_GB2312"/>
          <w:bCs/>
          <w:kern w:val="0"/>
          <w:sz w:val="32"/>
          <w:szCs w:val="32"/>
          <w:u w:val="none"/>
        </w:rPr>
        <w:t>台。</w:t>
      </w:r>
      <w:r>
        <w:rPr>
          <w:rFonts w:hint="eastAsia" w:eastAsia="仿宋_GB2312"/>
          <w:bCs/>
          <w:kern w:val="0"/>
          <w:sz w:val="32"/>
          <w:szCs w:val="32"/>
          <w:u w:val="none"/>
          <w:lang w:val="en-US" w:eastAsia="zh-CN"/>
        </w:rPr>
        <w:t>2021</w:t>
      </w:r>
      <w:r>
        <w:rPr>
          <w:rFonts w:eastAsia="仿宋_GB2312"/>
          <w:bCs/>
          <w:kern w:val="0"/>
          <w:sz w:val="32"/>
          <w:szCs w:val="32"/>
          <w:u w:val="none"/>
        </w:rPr>
        <w:t>年拟新增配置公务用车</w:t>
      </w:r>
      <w:r>
        <w:rPr>
          <w:rFonts w:hint="eastAsia" w:eastAsia="仿宋_GB2312"/>
          <w:bCs/>
          <w:kern w:val="0"/>
          <w:sz w:val="32"/>
          <w:szCs w:val="32"/>
          <w:u w:val="none"/>
          <w:lang w:val="en-US" w:eastAsia="zh-CN"/>
        </w:rPr>
        <w:t>0</w:t>
      </w:r>
      <w:r>
        <w:rPr>
          <w:rFonts w:eastAsia="仿宋_GB2312"/>
          <w:bCs/>
          <w:kern w:val="0"/>
          <w:sz w:val="32"/>
          <w:szCs w:val="32"/>
          <w:u w:val="none"/>
        </w:rPr>
        <w:t>辆；新增配备单位价值50万元以上通用设备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台，单位价值100万元以上专用设备</w:t>
      </w:r>
      <w:r>
        <w:rPr>
          <w:rFonts w:hint="eastAsia" w:eastAsia="仿宋_GB2312"/>
          <w:bCs/>
          <w:kern w:val="0"/>
          <w:sz w:val="32"/>
          <w:szCs w:val="32"/>
          <w:u w:val="none"/>
          <w:lang w:val="en-US" w:eastAsia="zh-CN"/>
        </w:rPr>
        <w:t>0</w:t>
      </w:r>
      <w:r>
        <w:rPr>
          <w:rFonts w:eastAsia="仿宋_GB2312"/>
          <w:bCs/>
          <w:kern w:val="0"/>
          <w:sz w:val="32"/>
          <w:szCs w:val="32"/>
          <w:u w:val="none"/>
        </w:rPr>
        <w:t>台。</w:t>
      </w:r>
    </w:p>
    <w:p>
      <w:pPr>
        <w:widowControl/>
        <w:spacing w:line="600" w:lineRule="exact"/>
        <w:ind w:firstLine="660"/>
        <w:jc w:val="left"/>
        <w:rPr>
          <w:rFonts w:eastAsia="仿宋_GB2312"/>
          <w:bCs/>
          <w:kern w:val="0"/>
          <w:sz w:val="32"/>
          <w:szCs w:val="32"/>
          <w:u w:val="none"/>
        </w:rPr>
      </w:pPr>
      <w:r>
        <w:rPr>
          <w:rFonts w:eastAsia="楷体_GB2312"/>
          <w:b/>
          <w:bCs/>
          <w:kern w:val="0"/>
          <w:sz w:val="32"/>
          <w:szCs w:val="32"/>
          <w:u w:val="none"/>
        </w:rPr>
        <w:t>（六）预算绩效目标说明：</w:t>
      </w:r>
      <w:r>
        <w:rPr>
          <w:rFonts w:eastAsia="仿宋_GB2312"/>
          <w:bCs/>
          <w:kern w:val="0"/>
          <w:sz w:val="32"/>
          <w:szCs w:val="32"/>
          <w:u w:val="none"/>
        </w:rPr>
        <w:t>本部门所有支出实行绩效目标管理。纳入</w:t>
      </w:r>
      <w:r>
        <w:rPr>
          <w:rFonts w:hint="eastAsia" w:eastAsia="仿宋_GB2312"/>
          <w:bCs/>
          <w:kern w:val="0"/>
          <w:sz w:val="32"/>
          <w:szCs w:val="32"/>
          <w:u w:val="none"/>
          <w:lang w:val="en-US" w:eastAsia="zh-CN"/>
        </w:rPr>
        <w:t>2021</w:t>
      </w:r>
      <w:r>
        <w:rPr>
          <w:rFonts w:eastAsia="仿宋_GB2312"/>
          <w:bCs/>
          <w:kern w:val="0"/>
          <w:sz w:val="32"/>
          <w:szCs w:val="32"/>
          <w:u w:val="none"/>
        </w:rPr>
        <w:t>年部门整体支出绩效目标的金额为</w:t>
      </w:r>
      <w:r>
        <w:rPr>
          <w:rFonts w:hint="eastAsia" w:eastAsia="仿宋_GB2312"/>
          <w:sz w:val="32"/>
          <w:szCs w:val="32"/>
          <w:u w:val="none"/>
          <w:lang w:val="en-US" w:eastAsia="zh-CN"/>
        </w:rPr>
        <w:t>174.79</w:t>
      </w:r>
      <w:r>
        <w:rPr>
          <w:rFonts w:eastAsia="仿宋_GB2312"/>
          <w:bCs/>
          <w:kern w:val="0"/>
          <w:sz w:val="32"/>
          <w:szCs w:val="32"/>
          <w:u w:val="none"/>
        </w:rPr>
        <w:t>万元，其中，基本支出</w:t>
      </w:r>
      <w:r>
        <w:rPr>
          <w:rFonts w:hint="eastAsia" w:eastAsia="仿宋_GB2312"/>
          <w:sz w:val="32"/>
          <w:szCs w:val="32"/>
          <w:u w:val="none"/>
          <w:lang w:val="en-US" w:eastAsia="zh-CN"/>
        </w:rPr>
        <w:t>174.79</w:t>
      </w:r>
      <w:r>
        <w:rPr>
          <w:rFonts w:eastAsia="仿宋_GB2312"/>
          <w:bCs/>
          <w:kern w:val="0"/>
          <w:sz w:val="32"/>
          <w:szCs w:val="32"/>
          <w:u w:val="none"/>
        </w:rPr>
        <w:t>万元，项目支出</w:t>
      </w:r>
      <w:r>
        <w:rPr>
          <w:rFonts w:hint="eastAsia" w:eastAsia="仿宋_GB2312"/>
          <w:sz w:val="32"/>
          <w:szCs w:val="32"/>
          <w:u w:val="none"/>
          <w:lang w:val="en-US" w:eastAsia="zh-CN"/>
        </w:rPr>
        <w:t>0</w:t>
      </w:r>
      <w:r>
        <w:rPr>
          <w:rFonts w:eastAsia="仿宋_GB2312"/>
          <w:bCs/>
          <w:kern w:val="0"/>
          <w:sz w:val="32"/>
          <w:szCs w:val="32"/>
          <w:u w:val="none"/>
        </w:rPr>
        <w:t>万元，具体绩效目标详见报表。</w:t>
      </w:r>
    </w:p>
    <w:p>
      <w:pPr>
        <w:widowControl/>
        <w:spacing w:line="600" w:lineRule="exact"/>
        <w:ind w:firstLine="660"/>
        <w:rPr>
          <w:rFonts w:eastAsia="黑体"/>
          <w:sz w:val="32"/>
          <w:szCs w:val="32"/>
          <w:u w:val="none"/>
        </w:rPr>
      </w:pPr>
      <w:r>
        <w:rPr>
          <w:rFonts w:eastAsia="黑体"/>
          <w:sz w:val="32"/>
          <w:szCs w:val="32"/>
          <w:u w:val="none"/>
        </w:rPr>
        <w:t>七、名词解释</w:t>
      </w:r>
    </w:p>
    <w:p>
      <w:pPr>
        <w:widowControl/>
        <w:spacing w:line="600" w:lineRule="exact"/>
        <w:ind w:firstLine="660"/>
        <w:rPr>
          <w:rFonts w:eastAsia="仿宋_GB2312"/>
          <w:sz w:val="32"/>
          <w:szCs w:val="32"/>
          <w:u w:val="none"/>
        </w:rPr>
      </w:pPr>
      <w:r>
        <w:rPr>
          <w:rFonts w:eastAsia="仿宋_GB2312"/>
          <w:sz w:val="32"/>
          <w:szCs w:val="32"/>
          <w:u w:val="none"/>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u w:val="none"/>
        </w:rPr>
      </w:pPr>
      <w:r>
        <w:rPr>
          <w:rFonts w:eastAsia="仿宋_GB2312"/>
          <w:sz w:val="32"/>
          <w:szCs w:val="32"/>
          <w:u w:val="none"/>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43" w:firstLineChars="200"/>
        <w:jc w:val="left"/>
        <w:rPr>
          <w:rFonts w:eastAsia="仿宋_GB2312"/>
          <w:b/>
          <w:bCs/>
          <w:kern w:val="0"/>
          <w:sz w:val="32"/>
          <w:szCs w:val="32"/>
        </w:rPr>
      </w:pPr>
    </w:p>
    <w:p>
      <w:pPr>
        <w:widowControl/>
        <w:spacing w:line="600" w:lineRule="exact"/>
        <w:ind w:firstLine="643" w:firstLineChars="200"/>
        <w:jc w:val="left"/>
        <w:rPr>
          <w:rFonts w:eastAsia="仿宋_GB2312"/>
          <w:b/>
          <w:bCs/>
          <w:kern w:val="0"/>
          <w:sz w:val="32"/>
          <w:szCs w:val="32"/>
        </w:rPr>
      </w:pPr>
    </w:p>
    <w:p>
      <w:pPr>
        <w:widowControl/>
        <w:spacing w:line="600" w:lineRule="exact"/>
        <w:jc w:val="left"/>
        <w:rPr>
          <w:rFonts w:eastAsia="仿宋_GB2312"/>
          <w:b/>
          <w:bCs/>
          <w:kern w:val="0"/>
          <w:sz w:val="32"/>
          <w:szCs w:val="32"/>
        </w:rPr>
      </w:pPr>
    </w:p>
    <w:p>
      <w:pPr>
        <w:widowControl/>
        <w:spacing w:line="600" w:lineRule="exact"/>
        <w:rPr>
          <w:rFonts w:eastAsia="方正小标宋_GBK"/>
          <w:bCs/>
          <w:kern w:val="0"/>
          <w:sz w:val="36"/>
          <w:szCs w:val="36"/>
        </w:rPr>
      </w:pPr>
    </w:p>
    <w:p>
      <w:pPr>
        <w:widowControl/>
        <w:spacing w:line="600" w:lineRule="exact"/>
        <w:ind w:firstLine="720" w:firstLineChars="200"/>
        <w:jc w:val="center"/>
        <w:rPr>
          <w:rFonts w:eastAsia="方正小标宋_GBK"/>
          <w:bCs/>
          <w:kern w:val="0"/>
          <w:sz w:val="36"/>
          <w:szCs w:val="36"/>
        </w:rPr>
      </w:pPr>
      <w:r>
        <w:rPr>
          <w:rFonts w:eastAsia="方正小标宋_GBK"/>
          <w:bCs/>
          <w:kern w:val="0"/>
          <w:sz w:val="36"/>
          <w:szCs w:val="36"/>
        </w:rPr>
        <w:t xml:space="preserve">第二部分 </w:t>
      </w:r>
      <w:r>
        <w:rPr>
          <w:rFonts w:hint="eastAsia" w:eastAsia="方正小标宋_GBK"/>
          <w:bCs/>
          <w:kern w:val="0"/>
          <w:sz w:val="36"/>
          <w:szCs w:val="36"/>
          <w:lang w:val="en-US" w:eastAsia="zh-CN"/>
        </w:rPr>
        <w:t>2021</w:t>
      </w:r>
      <w:r>
        <w:rPr>
          <w:rFonts w:eastAsia="方正小标宋_GBK"/>
          <w:bCs/>
          <w:kern w:val="0"/>
          <w:sz w:val="36"/>
          <w:szCs w:val="36"/>
        </w:rPr>
        <w:t>年部门预算表</w:t>
      </w: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widowControl/>
        <w:spacing w:line="600" w:lineRule="exact"/>
        <w:jc w:val="left"/>
        <w:rPr>
          <w:rFonts w:eastAsia="仿宋_GB2312"/>
          <w:bCs/>
          <w:kern w:val="0"/>
          <w:sz w:val="32"/>
          <w:szCs w:val="32"/>
        </w:rPr>
      </w:pPr>
    </w:p>
    <w:p>
      <w:r>
        <w:rPr>
          <w:rFonts w:eastAsia="仿宋_GB2312"/>
          <w:bCs/>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82DA9"/>
    <w:multiLevelType w:val="multilevel"/>
    <w:tmpl w:val="81182DA9"/>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9A50C22B"/>
    <w:multiLevelType w:val="multilevel"/>
    <w:tmpl w:val="9A50C22B"/>
    <w:lvl w:ilvl="0" w:tentative="0">
      <w:start w:val="5"/>
      <w:numFmt w:val="chineseCounting"/>
      <w:suff w:val="nothing"/>
      <w:lvlText w:val="（%1）"/>
      <w:lvlJc w:val="left"/>
      <w:pPr>
        <w:ind w:left="360" w:firstLine="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C24B7"/>
    <w:rsid w:val="02251F56"/>
    <w:rsid w:val="024B7893"/>
    <w:rsid w:val="027749E1"/>
    <w:rsid w:val="030833CB"/>
    <w:rsid w:val="037A226D"/>
    <w:rsid w:val="05D7390D"/>
    <w:rsid w:val="06AA2051"/>
    <w:rsid w:val="083E4717"/>
    <w:rsid w:val="097B2388"/>
    <w:rsid w:val="09AF3DAA"/>
    <w:rsid w:val="0C2A4F16"/>
    <w:rsid w:val="0C8203F9"/>
    <w:rsid w:val="0CAF3069"/>
    <w:rsid w:val="0D657360"/>
    <w:rsid w:val="0DB55B53"/>
    <w:rsid w:val="0DB945B1"/>
    <w:rsid w:val="0DBF09E6"/>
    <w:rsid w:val="0DDB01CB"/>
    <w:rsid w:val="0F8047DD"/>
    <w:rsid w:val="11646758"/>
    <w:rsid w:val="11C34DDC"/>
    <w:rsid w:val="12366F12"/>
    <w:rsid w:val="123B319C"/>
    <w:rsid w:val="12442B3B"/>
    <w:rsid w:val="12D116CF"/>
    <w:rsid w:val="12F249F9"/>
    <w:rsid w:val="133A76FA"/>
    <w:rsid w:val="14A6192D"/>
    <w:rsid w:val="14BE6910"/>
    <w:rsid w:val="14ED3950"/>
    <w:rsid w:val="15E749D1"/>
    <w:rsid w:val="16234C38"/>
    <w:rsid w:val="16F51CAB"/>
    <w:rsid w:val="176D75C1"/>
    <w:rsid w:val="17DC529B"/>
    <w:rsid w:val="18BC5BF7"/>
    <w:rsid w:val="19A6600F"/>
    <w:rsid w:val="1A9F2194"/>
    <w:rsid w:val="1BCF358C"/>
    <w:rsid w:val="1D7144B9"/>
    <w:rsid w:val="1EB922DD"/>
    <w:rsid w:val="1EF77D96"/>
    <w:rsid w:val="216A706B"/>
    <w:rsid w:val="21BA6657"/>
    <w:rsid w:val="23161750"/>
    <w:rsid w:val="23940B56"/>
    <w:rsid w:val="23C15F24"/>
    <w:rsid w:val="23E965B6"/>
    <w:rsid w:val="24294657"/>
    <w:rsid w:val="253B28E9"/>
    <w:rsid w:val="257810DE"/>
    <w:rsid w:val="25D303B1"/>
    <w:rsid w:val="2608400C"/>
    <w:rsid w:val="27E22529"/>
    <w:rsid w:val="288F7618"/>
    <w:rsid w:val="296207F0"/>
    <w:rsid w:val="29E97C76"/>
    <w:rsid w:val="2DF554AD"/>
    <w:rsid w:val="2EAD620E"/>
    <w:rsid w:val="302813A9"/>
    <w:rsid w:val="30457709"/>
    <w:rsid w:val="31194F5C"/>
    <w:rsid w:val="35060F63"/>
    <w:rsid w:val="35B265DD"/>
    <w:rsid w:val="38513AA8"/>
    <w:rsid w:val="397B3229"/>
    <w:rsid w:val="39AA47DA"/>
    <w:rsid w:val="39B0199F"/>
    <w:rsid w:val="3BDC5E3B"/>
    <w:rsid w:val="3C632F7D"/>
    <w:rsid w:val="3D3254BB"/>
    <w:rsid w:val="3EC8114A"/>
    <w:rsid w:val="41015BFC"/>
    <w:rsid w:val="4216550A"/>
    <w:rsid w:val="422C0371"/>
    <w:rsid w:val="42377E0A"/>
    <w:rsid w:val="433D53AB"/>
    <w:rsid w:val="437E3838"/>
    <w:rsid w:val="44DC7851"/>
    <w:rsid w:val="46473BA5"/>
    <w:rsid w:val="472E3639"/>
    <w:rsid w:val="47A11A88"/>
    <w:rsid w:val="49233B9A"/>
    <w:rsid w:val="494B5154"/>
    <w:rsid w:val="497A71CD"/>
    <w:rsid w:val="4AD67D44"/>
    <w:rsid w:val="4BE3443B"/>
    <w:rsid w:val="4C391DC0"/>
    <w:rsid w:val="4C6F6B79"/>
    <w:rsid w:val="4E3141A2"/>
    <w:rsid w:val="4E944EE9"/>
    <w:rsid w:val="4F814FA4"/>
    <w:rsid w:val="510675A9"/>
    <w:rsid w:val="510F1640"/>
    <w:rsid w:val="512B2ADF"/>
    <w:rsid w:val="52007BEC"/>
    <w:rsid w:val="546A22F0"/>
    <w:rsid w:val="54A24EFE"/>
    <w:rsid w:val="54C2517F"/>
    <w:rsid w:val="56C7303B"/>
    <w:rsid w:val="577266B2"/>
    <w:rsid w:val="57C955D9"/>
    <w:rsid w:val="58086497"/>
    <w:rsid w:val="580D20D5"/>
    <w:rsid w:val="587435DA"/>
    <w:rsid w:val="599F39AD"/>
    <w:rsid w:val="59EA7C43"/>
    <w:rsid w:val="5AE16A17"/>
    <w:rsid w:val="5B02493C"/>
    <w:rsid w:val="5B060FC1"/>
    <w:rsid w:val="5C9F379F"/>
    <w:rsid w:val="5D3D1BB1"/>
    <w:rsid w:val="5D7E2418"/>
    <w:rsid w:val="5DE628E9"/>
    <w:rsid w:val="5E1F54D7"/>
    <w:rsid w:val="5EF84B7A"/>
    <w:rsid w:val="5EFF6564"/>
    <w:rsid w:val="5F9C1BF0"/>
    <w:rsid w:val="61457C9E"/>
    <w:rsid w:val="618D3469"/>
    <w:rsid w:val="63C94947"/>
    <w:rsid w:val="640178DC"/>
    <w:rsid w:val="64096E51"/>
    <w:rsid w:val="64FE5EED"/>
    <w:rsid w:val="655F3910"/>
    <w:rsid w:val="66733DC1"/>
    <w:rsid w:val="66856E2E"/>
    <w:rsid w:val="675D5918"/>
    <w:rsid w:val="6805576B"/>
    <w:rsid w:val="68153AE9"/>
    <w:rsid w:val="683751C7"/>
    <w:rsid w:val="68D2212E"/>
    <w:rsid w:val="68F1202F"/>
    <w:rsid w:val="6A654B09"/>
    <w:rsid w:val="6ACB0411"/>
    <w:rsid w:val="6C25743C"/>
    <w:rsid w:val="6C9614E9"/>
    <w:rsid w:val="6CA22C80"/>
    <w:rsid w:val="6D085F0F"/>
    <w:rsid w:val="6D233418"/>
    <w:rsid w:val="6E32744D"/>
    <w:rsid w:val="6E5224E4"/>
    <w:rsid w:val="6F7366BD"/>
    <w:rsid w:val="700534D8"/>
    <w:rsid w:val="705F3584"/>
    <w:rsid w:val="70993898"/>
    <w:rsid w:val="71985E7A"/>
    <w:rsid w:val="71A909D3"/>
    <w:rsid w:val="71CF1BD1"/>
    <w:rsid w:val="73D64BA3"/>
    <w:rsid w:val="73DD7990"/>
    <w:rsid w:val="75BC50E3"/>
    <w:rsid w:val="76B24BBF"/>
    <w:rsid w:val="76ED2077"/>
    <w:rsid w:val="79255C93"/>
    <w:rsid w:val="794952D1"/>
    <w:rsid w:val="799A5AF8"/>
    <w:rsid w:val="7A3D6F67"/>
    <w:rsid w:val="7AD11B14"/>
    <w:rsid w:val="7AF46A7C"/>
    <w:rsid w:val="7BEB1DD2"/>
    <w:rsid w:val="7DE94B00"/>
    <w:rsid w:val="7E50631F"/>
    <w:rsid w:val="7E6E00A8"/>
    <w:rsid w:val="7E8E6324"/>
    <w:rsid w:val="7EBF18F0"/>
    <w:rsid w:val="7F22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Autospacing="1"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Fghji</dc:creator>
  <cp:lastModifiedBy>d</cp:lastModifiedBy>
  <dcterms:modified xsi:type="dcterms:W3CDTF">2021-10-28T00:36:43Z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5C46A8097D374F4893E7BF19F53B58BD</vt:lpwstr>
  </property>
</Properties>
</file>