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2021</w:t>
      </w:r>
      <w:r>
        <w:rPr>
          <w:rFonts w:eastAsia="方正小标宋_GBK"/>
          <w:bCs/>
          <w:kern w:val="0"/>
          <w:sz w:val="44"/>
          <w:szCs w:val="44"/>
        </w:rPr>
        <w:t>年永州市回龙圩管理区农机管理与畜牧水产局部门预算编制说明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 2021年部门预算说明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 2021年部门预算表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ind w:left="0" w:firstLine="2520" w:firstLineChars="700"/>
        <w:rPr>
          <w:rFonts w:eastAsia="仿宋_GB2312"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第一部分 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部门基本概况</w:t>
      </w:r>
    </w:p>
    <w:p>
      <w:pPr>
        <w:widowControl/>
        <w:spacing w:line="600" w:lineRule="exact"/>
        <w:ind w:left="627" w:firstLine="0"/>
        <w:jc w:val="left"/>
        <w:rPr>
          <w:rFonts w:eastAsia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职能职责。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left="480" w:firstLine="480" w:firstLineChars="150"/>
        <w:textAlignment w:val="auto"/>
        <w:rPr>
          <w:rFonts w:hint="eastAsia" w:ascii="方正楷体_GBK" w:eastAsia="方正楷体_GBK" w:cs="微软雅黑"/>
          <w:kern w:val="0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1、</w:t>
      </w:r>
      <w:r>
        <w:rPr>
          <w:rFonts w:hint="eastAsia" w:ascii="方正楷体_GBK" w:eastAsia="方正楷体_GBK" w:cs="微软雅黑"/>
          <w:kern w:val="0"/>
          <w:sz w:val="32"/>
          <w:szCs w:val="32"/>
        </w:rPr>
        <w:t>组织实施拖拉机、轮式专用机械车辆等农业机械的安全监理；负责非车辆农业机械的安全监理；负责农机产品的质量检验、鉴定和认证管理。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left="640" w:firstLine="320" w:firstLineChars="100"/>
        <w:textAlignment w:val="auto"/>
        <w:rPr>
          <w:rFonts w:hint="eastAsia" w:ascii="方正楷体_GBK" w:eastAsia="方正楷体_GBK" w:cs="微软雅黑"/>
          <w:kern w:val="0"/>
          <w:sz w:val="32"/>
          <w:szCs w:val="32"/>
        </w:rPr>
      </w:pPr>
      <w:r>
        <w:rPr>
          <w:rFonts w:ascii="方正楷体_GBK" w:eastAsia="方正楷体_GBK" w:cs="微软雅黑"/>
          <w:kern w:val="0"/>
          <w:sz w:val="32"/>
          <w:szCs w:val="32"/>
        </w:rPr>
        <w:t>2、</w:t>
      </w:r>
      <w:r>
        <w:rPr>
          <w:rFonts w:hint="eastAsia" w:ascii="方正楷体_GBK" w:eastAsia="方正楷体_GBK" w:cs="微软雅黑"/>
          <w:kern w:val="0"/>
          <w:sz w:val="32"/>
          <w:szCs w:val="32"/>
        </w:rPr>
        <w:t>组建全区农业机械化服务体系和农业机械信息网络。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left="640" w:firstLine="320" w:firstLineChars="100"/>
        <w:textAlignment w:val="auto"/>
        <w:rPr>
          <w:rFonts w:hint="eastAsia" w:ascii="方正楷体_GBK" w:eastAsia="方正楷体_GBK" w:cs="微软雅黑"/>
          <w:kern w:val="0"/>
          <w:sz w:val="32"/>
          <w:szCs w:val="32"/>
        </w:rPr>
      </w:pPr>
      <w:r>
        <w:rPr>
          <w:rFonts w:ascii="方正楷体_GBK" w:eastAsia="方正楷体_GBK" w:cs="微软雅黑"/>
          <w:kern w:val="0"/>
          <w:sz w:val="32"/>
          <w:szCs w:val="32"/>
        </w:rPr>
        <w:t>3、</w:t>
      </w:r>
      <w:r>
        <w:rPr>
          <w:rFonts w:hint="eastAsia" w:ascii="方正楷体_GBK" w:eastAsia="方正楷体_GBK" w:cs="微软雅黑"/>
          <w:kern w:val="0"/>
          <w:sz w:val="32"/>
          <w:szCs w:val="32"/>
        </w:rPr>
        <w:t>具体抓好教育培训工作。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left="640" w:firstLine="320" w:firstLineChars="100"/>
        <w:textAlignment w:val="auto"/>
        <w:rPr>
          <w:rFonts w:hint="eastAsia" w:ascii="方正楷体_GBK" w:eastAsia="方正楷体_GBK" w:cs="微软雅黑"/>
          <w:kern w:val="0"/>
          <w:sz w:val="32"/>
          <w:szCs w:val="32"/>
        </w:rPr>
      </w:pPr>
      <w:r>
        <w:rPr>
          <w:rFonts w:ascii="方正楷体_GBK" w:eastAsia="方正楷体_GBK" w:cs="微软雅黑"/>
          <w:kern w:val="0"/>
          <w:sz w:val="32"/>
          <w:szCs w:val="32"/>
        </w:rPr>
        <w:t>4、</w:t>
      </w:r>
      <w:r>
        <w:rPr>
          <w:rFonts w:hint="eastAsia" w:ascii="方正楷体_GBK" w:eastAsia="方正楷体_GBK" w:cs="微软雅黑"/>
          <w:kern w:val="0"/>
          <w:sz w:val="32"/>
          <w:szCs w:val="32"/>
        </w:rPr>
        <w:t>畜牧局负责良种禽畜的引进、培育与推广，主管种禽畜及畜产品的质量标准，按标准对种禽畜场进行验收，依法对种禽畜生产经营进行监督管理。负责畜牧业商品基地的建设管理工作。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left="640" w:firstLine="320" w:firstLineChars="100"/>
        <w:textAlignment w:val="auto"/>
        <w:rPr>
          <w:rFonts w:hint="eastAsia" w:ascii="方正楷体_GBK" w:eastAsia="方正楷体_GBK" w:cs="微软雅黑"/>
          <w:kern w:val="0"/>
          <w:sz w:val="32"/>
          <w:szCs w:val="32"/>
        </w:rPr>
      </w:pPr>
      <w:r>
        <w:rPr>
          <w:rFonts w:ascii="方正楷体_GBK" w:eastAsia="方正楷体_GBK" w:cs="微软雅黑"/>
          <w:kern w:val="0"/>
          <w:sz w:val="32"/>
          <w:szCs w:val="32"/>
        </w:rPr>
        <w:t>5、</w:t>
      </w:r>
      <w:r>
        <w:rPr>
          <w:rFonts w:hint="eastAsia" w:ascii="方正楷体_GBK" w:eastAsia="方正楷体_GBK" w:cs="微软雅黑"/>
          <w:kern w:val="0"/>
          <w:sz w:val="32"/>
          <w:szCs w:val="32"/>
        </w:rPr>
        <w:t>控制动物疫病的流行。促进养殖业发展。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left="640" w:firstLine="320" w:firstLineChars="100"/>
        <w:textAlignment w:val="auto"/>
        <w:rPr>
          <w:rFonts w:hint="eastAsia" w:ascii="方正楷体_GBK" w:eastAsia="方正楷体_GBK" w:cs="微软雅黑"/>
          <w:kern w:val="0"/>
          <w:sz w:val="32"/>
          <w:szCs w:val="32"/>
        </w:rPr>
      </w:pPr>
      <w:r>
        <w:rPr>
          <w:rFonts w:ascii="方正楷体_GBK" w:eastAsia="方正楷体_GBK" w:cs="微软雅黑"/>
          <w:kern w:val="0"/>
          <w:sz w:val="32"/>
          <w:szCs w:val="32"/>
        </w:rPr>
        <w:t>6、</w:t>
      </w:r>
      <w:r>
        <w:rPr>
          <w:rFonts w:hint="eastAsia" w:ascii="方正楷体_GBK" w:eastAsia="方正楷体_GBK" w:cs="微软雅黑"/>
          <w:kern w:val="0"/>
          <w:sz w:val="32"/>
          <w:szCs w:val="32"/>
        </w:rPr>
        <w:t>监督兽药生产及销售。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snapToGrid/>
        <w:spacing w:line="480" w:lineRule="exact"/>
        <w:ind w:firstLine="640" w:firstLineChars="200"/>
        <w:rPr>
          <w:rFonts w:ascii="方正楷体_GBK" w:eastAsia="方正楷体_GBK" w:cs="微软雅黑"/>
          <w:kern w:val="0"/>
          <w:sz w:val="32"/>
          <w:szCs w:val="32"/>
        </w:rPr>
      </w:pPr>
      <w:r>
        <w:rPr>
          <w:rFonts w:hint="eastAsia" w:ascii="方正楷体_GBK" w:eastAsia="方正楷体_GBK" w:cs="微软雅黑"/>
          <w:kern w:val="0"/>
          <w:sz w:val="32"/>
          <w:szCs w:val="32"/>
        </w:rPr>
        <w:t>二、内设机构。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snapToGrid/>
        <w:spacing w:line="480" w:lineRule="exact"/>
        <w:ind w:firstLine="960" w:firstLineChars="300"/>
        <w:rPr>
          <w:rFonts w:hint="eastAsia" w:ascii="方正楷体_GBK" w:eastAsia="方正楷体_GBK" w:cs="微软雅黑"/>
          <w:kern w:val="0"/>
          <w:sz w:val="32"/>
          <w:szCs w:val="32"/>
        </w:rPr>
      </w:pPr>
      <w:r>
        <w:rPr>
          <w:rFonts w:hint="eastAsia" w:ascii="方正楷体_GBK" w:eastAsia="方正楷体_GBK" w:cs="微软雅黑"/>
          <w:kern w:val="0"/>
          <w:sz w:val="32"/>
          <w:szCs w:val="32"/>
        </w:rPr>
        <w:t>本单位设办公室，动物检疫所，农机局，机械管理</w:t>
      </w:r>
      <w:r>
        <w:rPr>
          <w:rFonts w:ascii="方正楷体_GBK" w:eastAsia="方正楷体_GBK" w:cs="微软雅黑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本部门预算为汇总预算，纳入编制范围的预算单位包括：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1、农机局部门本级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2、畜牧局水产局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或者：×××部门只有本级，没有其他预算单位，因此本部门预算仅含本级预算。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2021年本部门收入预算205.54万元，其中，一般公共预算拨款205.54万元，政府性基金预算拨款0万元，国有资本经营预算拨款0万元，纳入专户管理的非税收入0万元。收入较去年增加50万元，主要是下拨动物防疫补助经费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（二）支出预算：2021</w:t>
      </w:r>
      <w:r>
        <w:rPr>
          <w:rFonts w:eastAsia="仿宋_GB2312"/>
          <w:sz w:val="32"/>
          <w:szCs w:val="32"/>
        </w:rPr>
        <w:t>年本部门支出预算205.54万元，其中，一般公共服务205.54万元，公共安全0万元，教育0万元，科学技术0万元。支出较去年增加50万元，主要是下拨了动物防疫补助经费。</w:t>
      </w:r>
    </w:p>
    <w:p>
      <w:pPr>
        <w:widowControl/>
        <w:spacing w:line="600" w:lineRule="exact"/>
        <w:ind w:firstLine="627" w:firstLineChars="196"/>
        <w:rPr>
          <w:rFonts w:eastAsia="黑体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（注：与上年的收支增减对比情况一定要作出说明）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2021年本部门一般公共预算拨款支出预算205.54万元，其中，一般公共服务支出205.54万元，占100%；公共安全支出0万元，占0%；具体安排情况如下：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sz w:val="32"/>
          <w:szCs w:val="32"/>
        </w:rPr>
        <w:t>（一）基本支出：2021</w:t>
      </w:r>
      <w:r>
        <w:rPr>
          <w:rFonts w:eastAsia="仿宋_GB2312"/>
          <w:sz w:val="32"/>
          <w:szCs w:val="32"/>
        </w:rPr>
        <w:t>年本部门基本支出预算数61.54万元，主要是为保障部门正常运转、完成日常工作任务而发生的各项支出，包括用于基本工资、津贴补贴等人员经费以及办公费、印刷费、水电费、办公设备购置等公用经费。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（二）项目支出：2021</w:t>
      </w:r>
      <w:r>
        <w:rPr>
          <w:rFonts w:eastAsia="仿宋_GB2312"/>
          <w:sz w:val="32"/>
          <w:szCs w:val="32"/>
        </w:rPr>
        <w:t>年本部门项目支出预算144万元，主要是部门为完成特定行政工作任务或事业发展目标而发生的支出，包括有关事业发展专项、专项业务费、基本建设支出等，其中：农机购置补贴，支出30万元，主要用农机补贴等方面；市本级财政生猪复产保供奖补资金支出20万元，非洲猪瘟防控补助经费38万元，动物防疫补助经费51万元，中央和省级强制免疫补助资金5万元，主要用于非洲猪瘟以及区物防疫使用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2021政府性基金支出预算0元。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（注：如无政府性基金预算安排的支出，应反映“本部门无政府性基金安排的支出”）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（一）机关运行经费：2021</w:t>
      </w:r>
      <w:r>
        <w:rPr>
          <w:rFonts w:eastAsia="仿宋_GB2312"/>
          <w:sz w:val="32"/>
          <w:szCs w:val="32"/>
        </w:rPr>
        <w:t>机关本级农机和畜牧2家行政事业单位的机关运行经费205.54万元，比去年预算增加50万元，上升24%，主要是下拨了动物防疫补助资金。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（二）“三公”经费预算：2021</w:t>
      </w:r>
      <w:r>
        <w:rPr>
          <w:rFonts w:eastAsia="仿宋_GB2312"/>
          <w:sz w:val="32"/>
          <w:szCs w:val="32"/>
        </w:rPr>
        <w:t>机关本级农机局，畜牧局等2家行政事业单位“三公”经费预算数为2.5万元，其中，公务接待费2.5万元，公务用车购置及运行费0万元（其中，公务用车购置费 0万元，公务用车运行费 0万元），因公出国（境）费0万元。2021年“三公”经费预算较2020年持平2.5万元，主要是严格把控经费开支。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sz w:val="32"/>
          <w:szCs w:val="32"/>
        </w:rPr>
        <w:t>（三）一般性支出情况：2021</w:t>
      </w:r>
      <w:r>
        <w:rPr>
          <w:rFonts w:eastAsia="仿宋_GB2312"/>
          <w:kern w:val="0"/>
          <w:sz w:val="32"/>
          <w:szCs w:val="32"/>
        </w:rPr>
        <w:t>年本部门会议费预算0万元，拟召开0会议，人数0人；培训费预算0万元，拟开展0次培训，人数0人；拟举办0次节庆、晚会、论坛、赛事活动，经费预算 0万元。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（注：三类会议、培训活动，节庆、晚会、论坛、赛事等活动，请分项列明活动计划及经费预算情况）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（四）政府采购情况：2021</w:t>
      </w:r>
      <w:r>
        <w:rPr>
          <w:rFonts w:eastAsia="仿宋_GB2312"/>
          <w:sz w:val="32"/>
          <w:szCs w:val="32"/>
        </w:rPr>
        <w:t>年本部门政府采购预算总额0万元，其中，货物类采购预算0万元；工程类采购预算0万元；服务类采购预算0万元。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（注：如某大类无采购预算，则填“0”）</w:t>
      </w:r>
    </w:p>
    <w:p>
      <w:pPr>
        <w:widowControl/>
        <w:spacing w:line="60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截至2020年12月底，本部门</w:t>
      </w:r>
      <w:r>
        <w:rPr>
          <w:rFonts w:eastAsia="仿宋_GB2312"/>
          <w:kern w:val="0"/>
          <w:sz w:val="32"/>
          <w:szCs w:val="32"/>
        </w:rPr>
        <w:t>共有公务用车1辆，其中，机要通信用车0辆，应急保障用车0辆，执法执勤用车1辆，特种专业技术用车0辆，其他按照规定配备的公务用车0辆；单位价值50万元以上通用设备0台，单位价值100万元以上专用设备0台。2021年拟新增配置公务用车0辆，其中，机要通信用车0辆，应急保障用车0辆，执法执勤用车0辆特种专业技术用车0辆，其他按照规定配备的公务用车0辆，新增配备单位价值50万元以上通用设备0台，单位价值100万元以上专用设备0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（六）预算绩效目标说明：</w:t>
      </w:r>
      <w:r>
        <w:rPr>
          <w:rFonts w:eastAsia="仿宋_GB2312"/>
          <w:kern w:val="0"/>
          <w:sz w:val="32"/>
          <w:szCs w:val="32"/>
        </w:rPr>
        <w:t>本</w:t>
      </w:r>
      <w:r>
        <w:rPr>
          <w:rFonts w:eastAsia="仿宋_GB2312"/>
          <w:bCs/>
          <w:kern w:val="0"/>
          <w:sz w:val="32"/>
          <w:szCs w:val="32"/>
        </w:rPr>
        <w:t>部门所有支出实行绩效目标管理。纳入2021年部门整体支出绩效目标的金额为205.54万元，其中，基本支出61.54万元，项目支出144万元，具体绩效目标详见报表。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</w:t>
      </w:r>
      <w:bookmarkStart w:id="0" w:name="_GoBack"/>
      <w:bookmarkEnd w:id="0"/>
      <w:r>
        <w:rPr>
          <w:rFonts w:eastAsia="仿宋_GB2312"/>
          <w:sz w:val="32"/>
          <w:szCs w:val="32"/>
        </w:rPr>
        <w:t>等支出。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172265"/>
    <w:multiLevelType w:val="multilevel"/>
    <w:tmpl w:val="FC172265"/>
    <w:lvl w:ilvl="0" w:tentative="0">
      <w:start w:val="1"/>
      <w:numFmt w:val="chineseCountingThousand"/>
      <w:lvlText w:val="%1、"/>
      <w:legacy w:legacy="1" w:legacySpace="0" w:legacyIndent="640"/>
      <w:lvlJc w:val="left"/>
      <w:pPr>
        <w:ind w:left="1267" w:hanging="640"/>
      </w:p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1467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1887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2307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727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3147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3567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987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4407" w:hanging="420"/>
      </w:pPr>
    </w:lvl>
  </w:abstractNum>
  <w:abstractNum w:abstractNumId="1">
    <w:nsid w:val="72EAD5BD"/>
    <w:multiLevelType w:val="multilevel"/>
    <w:tmpl w:val="72EAD5BD"/>
    <w:lvl w:ilvl="0" w:tentative="0">
      <w:start w:val="1"/>
      <w:numFmt w:val="chineseCountingThousand"/>
      <w:lvlText w:val="（%1）"/>
      <w:legacy w:legacy="1" w:legacySpace="0" w:legacyIndent="972"/>
      <w:lvlJc w:val="left"/>
      <w:pPr>
        <w:ind w:left="1452" w:hanging="972"/>
      </w:p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1320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1740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2160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580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3000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3420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840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45F028F"/>
    <w:rsid w:val="43493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2295</Words>
  <Characters>2431</Characters>
  <Lines>127</Lines>
  <Paragraphs>53</Paragraphs>
  <TotalTime>72</TotalTime>
  <ScaleCrop>false</ScaleCrop>
  <LinksUpToDate>false</LinksUpToDate>
  <CharactersWithSpaces>2441</CharactersWithSpaces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Fghji</dc:creator>
  <cp:lastModifiedBy>Bemice</cp:lastModifiedBy>
  <cp:lastPrinted>2021-11-01T02:51:00Z</cp:lastPrinted>
  <dcterms:modified xsi:type="dcterms:W3CDTF">2021-11-08T03:29:30Z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E6B031AB5F7747B49CDDA4609FC00FDD</vt:lpwstr>
  </property>
</Properties>
</file>