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2021</w:t>
      </w:r>
      <w:r>
        <w:rPr>
          <w:rFonts w:eastAsia="方正小标宋_GBK"/>
          <w:bCs/>
          <w:kern w:val="0"/>
          <w:sz w:val="44"/>
          <w:szCs w:val="44"/>
        </w:rPr>
        <w:t>年中共永州市回龙圩管理区委员会组织部部门预算编制说明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 2021年部门预算说明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2021年部门预算表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left="0" w:firstLine="2520" w:firstLineChars="700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left="0" w:firstLine="2520" w:firstLineChars="700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left="0" w:firstLine="2520" w:firstLineChars="700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left="0" w:firstLine="2520" w:firstLineChars="700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left="0" w:firstLine="2520" w:firstLineChars="700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1800" w:firstLineChars="500"/>
        <w:rPr>
          <w:rFonts w:eastAsia="仿宋_GB2312"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（一）职能职责。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组织建设：主要负责在党的基层组织建设，党员教育管理，党员发展，党费管理，党的工作制度，党内生活制度等方面进行指导、组织、管理、提出意见建议等。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1438" w:leftChars="456" w:hanging="480" w:hangingChars="150"/>
        <w:textAlignment w:val="auto"/>
        <w:rPr>
          <w:rFonts w:hint="eastAsia" w:ascii="CESI楷体-GB2312" w:eastAsia="CESI楷体-GB2312" w:cs="微软雅黑"/>
          <w:kern w:val="0"/>
          <w:sz w:val="32"/>
          <w:szCs w:val="32"/>
        </w:rPr>
      </w:pPr>
      <w:r>
        <w:rPr>
          <w:rFonts w:ascii="CESI楷体-GB2312" w:eastAsia="CESI楷体-GB2312" w:cs="微软雅黑"/>
          <w:kern w:val="0"/>
          <w:sz w:val="32"/>
          <w:szCs w:val="32"/>
        </w:rPr>
        <w:t>2、</w:t>
      </w:r>
      <w:r>
        <w:rPr>
          <w:rFonts w:hint="eastAsia" w:ascii="CESI楷体-GB2312" w:eastAsia="CESI楷体-GB2312" w:cs="微软雅黑"/>
          <w:kern w:val="0"/>
          <w:sz w:val="32"/>
          <w:szCs w:val="32"/>
        </w:rPr>
        <w:t>干部工作：主要负责领导班子和干部队伍建设的宏观管理，包括管理体制，政策法规，干部人事制度改革等方面的规划、研究、指导等，对中央管理单位的领导班子换届、调整、任免等提出建议。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1438" w:leftChars="456" w:hanging="480" w:hangingChars="150"/>
        <w:textAlignment w:val="auto"/>
        <w:rPr>
          <w:rFonts w:hint="eastAsia" w:ascii="CESI楷体-GB2312" w:eastAsia="CESI楷体-GB2312" w:cs="微软雅黑"/>
          <w:kern w:val="0"/>
          <w:sz w:val="32"/>
          <w:szCs w:val="32"/>
        </w:rPr>
      </w:pPr>
      <w:r>
        <w:rPr>
          <w:rFonts w:ascii="CESI楷体-GB2312" w:eastAsia="CESI楷体-GB2312" w:cs="微软雅黑"/>
          <w:kern w:val="0"/>
          <w:sz w:val="32"/>
          <w:szCs w:val="32"/>
        </w:rPr>
        <w:t>3、</w:t>
      </w:r>
      <w:r>
        <w:rPr>
          <w:rFonts w:hint="eastAsia" w:ascii="CESI楷体-GB2312" w:eastAsia="CESI楷体-GB2312" w:cs="微软雅黑"/>
          <w:kern w:val="0"/>
          <w:sz w:val="32"/>
          <w:szCs w:val="32"/>
        </w:rPr>
        <w:t>人才工作：主要负责全国人才工作和人才队伍建设宏观管理、政策法规研究制定，指导协调专项人才工作及高层次人才引进工作，开展高级专家工作。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1438" w:leftChars="456" w:hanging="480" w:hangingChars="150"/>
        <w:textAlignment w:val="auto"/>
        <w:rPr>
          <w:rFonts w:hint="eastAsia" w:ascii="CESI楷体-GB2312" w:eastAsia="CESI楷体-GB2312" w:cs="微软雅黑"/>
          <w:kern w:val="0"/>
          <w:sz w:val="32"/>
          <w:szCs w:val="32"/>
        </w:rPr>
      </w:pPr>
      <w:r>
        <w:rPr>
          <w:rFonts w:ascii="CESI楷体-GB2312" w:eastAsia="CESI楷体-GB2312" w:cs="微软雅黑"/>
          <w:kern w:val="0"/>
          <w:sz w:val="32"/>
          <w:szCs w:val="32"/>
        </w:rPr>
        <w:t>4、</w:t>
      </w:r>
      <w:r>
        <w:rPr>
          <w:rFonts w:hint="eastAsia" w:ascii="CESI楷体-GB2312" w:eastAsia="CESI楷体-GB2312" w:cs="微软雅黑"/>
          <w:kern w:val="0"/>
          <w:sz w:val="32"/>
          <w:szCs w:val="32"/>
        </w:rPr>
        <w:t>干部教育培训：主要负责全国干部教育培训工作的整体规划、宏观指导，协调服务，督促检查，制度规范，指导分级分类开展干部教育培训。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1438" w:leftChars="456" w:hanging="480" w:hangingChars="150"/>
        <w:textAlignment w:val="auto"/>
        <w:rPr>
          <w:rFonts w:hint="eastAsia" w:ascii="CESI楷体-GB2312" w:eastAsia="CESI楷体-GB2312" w:cs="微软雅黑"/>
          <w:kern w:val="0"/>
          <w:sz w:val="32"/>
          <w:szCs w:val="32"/>
        </w:rPr>
      </w:pPr>
      <w:r>
        <w:rPr>
          <w:rFonts w:ascii="CESI楷体-GB2312" w:eastAsia="CESI楷体-GB2312" w:cs="微软雅黑"/>
          <w:kern w:val="0"/>
          <w:sz w:val="32"/>
          <w:szCs w:val="32"/>
        </w:rPr>
        <w:t>5、</w:t>
      </w:r>
      <w:r>
        <w:rPr>
          <w:rFonts w:hint="eastAsia" w:ascii="CESI楷体-GB2312" w:eastAsia="CESI楷体-GB2312" w:cs="微软雅黑"/>
          <w:kern w:val="0"/>
          <w:sz w:val="32"/>
          <w:szCs w:val="32"/>
        </w:rPr>
        <w:t>干部监督：主要负责对领导班子和领导干部、党政干部选拔任用工作及有关法规贯彻执行情况进行监督。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napToGrid/>
        <w:spacing w:line="480" w:lineRule="exact"/>
        <w:ind w:left="1438" w:leftChars="456" w:hanging="480" w:hangingChars="150"/>
        <w:rPr>
          <w:rFonts w:hint="eastAsia" w:ascii="CESI楷体-GB2312" w:eastAsia="CESI楷体-GB2312" w:cs="微软雅黑"/>
          <w:kern w:val="0"/>
          <w:sz w:val="32"/>
          <w:szCs w:val="32"/>
        </w:rPr>
      </w:pPr>
      <w:r>
        <w:rPr>
          <w:rFonts w:ascii="CESI楷体-GB2312" w:eastAsia="CESI楷体-GB2312" w:cs="微软雅黑"/>
          <w:kern w:val="0"/>
          <w:sz w:val="32"/>
          <w:szCs w:val="32"/>
        </w:rPr>
        <w:t>6、</w:t>
      </w:r>
      <w:r>
        <w:rPr>
          <w:rFonts w:hint="eastAsia" w:ascii="CESI楷体-GB2312" w:eastAsia="CESI楷体-GB2312" w:cs="微软雅黑"/>
          <w:kern w:val="0"/>
          <w:sz w:val="32"/>
          <w:szCs w:val="32"/>
        </w:rPr>
        <w:t>老干部工作：主要负责离退休干部工作政策的制定和宏观指导，包括落实离退休不敢的政治待遇和生活待遇，发挥离退休干部的作用等。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（二）机构设置：本单位设办公室，干部管理，人才中心，宣传部，团委。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1、组织部部门本级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2、宣传部部门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3、团委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4、工会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2021年本部门收入预算236.77万元，其中，一般公共预算拨款236.77万元，政府性基金预算拨款0万元，国有资本经营预算拨款0万元，纳入专户管理的非税收入0万元。收入较去年增加54万元，主要是新增的党员教育宣传片，党员培训以及建党100周年活动经费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（二）支出预算：2021</w:t>
      </w:r>
      <w:r>
        <w:rPr>
          <w:rFonts w:eastAsia="仿宋_GB2312"/>
          <w:sz w:val="32"/>
          <w:szCs w:val="32"/>
        </w:rPr>
        <w:t>年本部门支出预算236.77万元，其中，一般公共服务236.77万元，公共安全0万元，教育60万元，科学技术0万元。支出较去年增加54万元，主要是新增的党员教育宣传片，党员培训以及建党100周年活动经费。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2021年本部门一般公共预算拨款支出预算236.77万元，其中，一般公共服务支出占236.77万元，占100%；公共安全支出0万元，占0%。具体安排情况如下：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sz w:val="32"/>
          <w:szCs w:val="32"/>
        </w:rPr>
        <w:t>（一）基本支出：2021</w:t>
      </w:r>
      <w:r>
        <w:rPr>
          <w:rFonts w:eastAsia="仿宋_GB2312"/>
          <w:sz w:val="32"/>
          <w:szCs w:val="32"/>
        </w:rPr>
        <w:t>年本部门基本支出预算数169.26万元，主要是为保障部门正常运转、完成日常工作任务而发生的各项支出，包括用于基本工资、津贴补贴等人员经费以及办公费、印刷费、水电费、办公设备购置等公用经费。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sz w:val="32"/>
          <w:szCs w:val="32"/>
        </w:rPr>
        <w:t>（二）项目支出：2021</w:t>
      </w:r>
      <w:r>
        <w:rPr>
          <w:rFonts w:eastAsia="仿宋_GB2312"/>
          <w:sz w:val="32"/>
          <w:szCs w:val="32"/>
        </w:rPr>
        <w:t>年本部门项目支出预算0万元，</w:t>
      </w: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2021年本部门政府性基金支出预算0万元。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（一）机关运行经费：2021</w:t>
      </w:r>
      <w:r>
        <w:rPr>
          <w:rFonts w:eastAsia="仿宋_GB2312"/>
          <w:sz w:val="32"/>
          <w:szCs w:val="32"/>
        </w:rPr>
        <w:t>年本部门机关本级、宣传部、团委、工会等4家行政事业单位的机关运行经费236.77万元，比上年预算增加60万元，上升25%，主要是新增党员宣传片，党员培训费，建党100周年活动经费等。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（二）“三公”经费预算：2021</w:t>
      </w:r>
      <w:r>
        <w:rPr>
          <w:rFonts w:eastAsia="仿宋_GB2312"/>
          <w:sz w:val="32"/>
          <w:szCs w:val="32"/>
        </w:rPr>
        <w:t>年本部门机关本级、宣传部、团委、工会等4家行政事业单位“三公”经费预算数为10万元，其中，公务接待费4万元，公务用车购置及运行费0万元（其中，公务用车购置费 0万元，公务用车运行费 0万元），因公出国（境）费0万元。2021年“三公”经费预算较2020年持平4万元，主要是严格控制三公经费的开支。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（三）一般性支出情况：2021</w:t>
      </w:r>
      <w:r>
        <w:rPr>
          <w:rFonts w:eastAsia="仿宋_GB2312"/>
          <w:kern w:val="0"/>
          <w:sz w:val="32"/>
          <w:szCs w:val="32"/>
        </w:rPr>
        <w:t>年本部门会议费预算80万元，拟召开40会议，人数1500人，内容为基层干部换届，党员思想交流，学习习近平最新思想等；培训费预算5万元，拟开展13次培训，人数420人，内容为积极分子培训，党员干部培训，基层党员干部培训等；</w:t>
      </w:r>
    </w:p>
    <w:p>
      <w:pPr>
        <w:spacing w:line="60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（注：三类会议、培训活动，节庆、晚会、论坛、赛事等活动，请分项列明活动计划及经费预算情况）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（四）政府采购情况：2021</w:t>
      </w:r>
      <w:r>
        <w:rPr>
          <w:rFonts w:eastAsia="仿宋_GB2312"/>
          <w:sz w:val="32"/>
          <w:szCs w:val="32"/>
        </w:rPr>
        <w:t>年本部门政府采购预算总额0万元，其中，货物类采购预算0万元；工程类采购预算0万元；服务类采购预算0万元。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（注：如某大类无采购预算，则填“0”）</w:t>
      </w:r>
    </w:p>
    <w:p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kern w:val="0"/>
          <w:sz w:val="32"/>
          <w:szCs w:val="32"/>
        </w:rPr>
        <w:t>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特种专业技术用车0辆，其他按照规定配备的公务用车0辆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（六）预算绩效目标说明</w:t>
      </w:r>
      <w:r>
        <w:rPr>
          <w:rFonts w:eastAsia="楷体_GB2312"/>
          <w:b/>
          <w:bCs/>
          <w:kern w:val="0"/>
          <w:sz w:val="32"/>
          <w:szCs w:val="32"/>
        </w:rPr>
        <w:t>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本部门所有支出实行绩效目标管理。纳入2021年部门整体支出绩效目标的金额为236.77万元，其中，基本支出236.77万元，项目支出0万元，具体绩效目标详见报表。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2CECF0"/>
    <w:multiLevelType w:val="multilevel"/>
    <w:tmpl w:val="2B2CECF0"/>
    <w:lvl w:ilvl="0" w:tentative="0">
      <w:start w:val="1"/>
      <w:numFmt w:val="decimal"/>
      <w:lvlText w:val="%1、"/>
      <w:legacy w:legacy="1" w:legacySpace="0" w:legacyIndent="459"/>
      <w:lvlJc w:val="left"/>
      <w:pPr>
        <w:ind w:left="1406" w:hanging="459"/>
      </w:p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1787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2207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2627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3047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3467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3887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4307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47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4653F4E"/>
    <w:rsid w:val="63390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2328</Words>
  <Characters>2466</Characters>
  <Lines>127</Lines>
  <Paragraphs>50</Paragraphs>
  <TotalTime>98</TotalTime>
  <ScaleCrop>false</ScaleCrop>
  <LinksUpToDate>false</LinksUpToDate>
  <CharactersWithSpaces>2474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2021-11-01T02:51:00Z</cp:lastPrinted>
  <dcterms:modified xsi:type="dcterms:W3CDTF">2021-11-08T03:38:44Z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CEE12F61FF2B4661A6F9641D751F7533</vt:lpwstr>
  </property>
</Properties>
</file>