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宋体" w:hAnsi="宋体" w:eastAsia="宋体" w:cs="宋体"/>
          <w:bCs/>
          <w:kern w:val="0"/>
          <w:sz w:val="28"/>
          <w:szCs w:val="28"/>
        </w:rPr>
      </w:pPr>
    </w:p>
    <w:p>
      <w:pPr>
        <w:widowControl/>
        <w:spacing w:line="600" w:lineRule="exact"/>
        <w:jc w:val="center"/>
        <w:rPr>
          <w:rFonts w:hint="eastAsia" w:ascii="宋体" w:hAnsi="宋体" w:eastAsia="宋体" w:cs="宋体"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Cs/>
          <w:kern w:val="0"/>
          <w:sz w:val="44"/>
          <w:szCs w:val="44"/>
        </w:rPr>
        <w:t>2021年度永州市回龙圩管理区</w:t>
      </w:r>
      <w:r>
        <w:rPr>
          <w:rFonts w:hint="eastAsia" w:ascii="宋体" w:hAnsi="宋体" w:eastAsia="宋体" w:cs="宋体"/>
          <w:bCs/>
          <w:kern w:val="0"/>
          <w:sz w:val="44"/>
          <w:szCs w:val="44"/>
          <w:lang w:eastAsia="zh-CN"/>
        </w:rPr>
        <w:t>经济和信息化</w:t>
      </w:r>
      <w:r>
        <w:rPr>
          <w:rFonts w:hint="eastAsia" w:ascii="宋体" w:hAnsi="宋体" w:eastAsia="宋体" w:cs="宋体"/>
          <w:bCs/>
          <w:kern w:val="0"/>
          <w:sz w:val="44"/>
          <w:szCs w:val="44"/>
        </w:rPr>
        <w:t>委员会部门预算</w:t>
      </w:r>
    </w:p>
    <w:p>
      <w:pPr>
        <w:widowControl/>
        <w:spacing w:line="600" w:lineRule="exact"/>
        <w:jc w:val="center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目 录</w:t>
      </w:r>
    </w:p>
    <w:p>
      <w:pPr>
        <w:widowControl/>
        <w:spacing w:line="600" w:lineRule="exact"/>
        <w:ind w:firstLine="562" w:firstLineChars="200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第一部分2021年部门预算说明</w:t>
      </w:r>
    </w:p>
    <w:p>
      <w:pPr>
        <w:widowControl/>
        <w:spacing w:line="60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第二部分 2021年部门预算表</w:t>
      </w:r>
    </w:p>
    <w:p>
      <w:pPr>
        <w:widowControl/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1、部门收支总体情况表</w:t>
      </w:r>
    </w:p>
    <w:p>
      <w:pPr>
        <w:widowControl/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2、部门收入总体情况表</w:t>
      </w:r>
    </w:p>
    <w:p>
      <w:pPr>
        <w:widowControl/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3、部门支出总体情况表</w:t>
      </w:r>
    </w:p>
    <w:p>
      <w:pPr>
        <w:widowControl/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4、财政拨款收支情况表</w:t>
      </w:r>
    </w:p>
    <w:p>
      <w:pPr>
        <w:widowControl/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5、一般公共预算支出表</w:t>
      </w:r>
    </w:p>
    <w:p>
      <w:pPr>
        <w:widowControl/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6、一般公共预算基本支出表</w:t>
      </w:r>
    </w:p>
    <w:p>
      <w:pPr>
        <w:widowControl/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7、一般公共预算“三公”经费支出表</w:t>
      </w:r>
    </w:p>
    <w:p>
      <w:pPr>
        <w:widowControl/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8、政府性基金预算支出情况表</w:t>
      </w:r>
    </w:p>
    <w:p>
      <w:pPr>
        <w:widowControl/>
        <w:spacing w:line="600" w:lineRule="exact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注：以上部门预算报表中，空表表示本部门无相关收支情况。</w:t>
      </w:r>
    </w:p>
    <w:p>
      <w:pPr>
        <w:widowControl/>
        <w:spacing w:line="600" w:lineRule="exact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</w:rPr>
      </w:pPr>
    </w:p>
    <w:p>
      <w:pPr>
        <w:widowControl/>
        <w:spacing w:line="600" w:lineRule="exact"/>
        <w:rPr>
          <w:rFonts w:hint="eastAsia" w:ascii="宋体" w:hAnsi="宋体" w:eastAsia="宋体" w:cs="宋体"/>
          <w:bCs/>
          <w:kern w:val="0"/>
          <w:sz w:val="28"/>
          <w:szCs w:val="28"/>
        </w:rPr>
      </w:pPr>
    </w:p>
    <w:p>
      <w:pPr>
        <w:widowControl/>
        <w:spacing w:line="600" w:lineRule="exact"/>
        <w:rPr>
          <w:rFonts w:hint="eastAsia" w:ascii="宋体" w:hAnsi="宋体" w:eastAsia="宋体" w:cs="宋体"/>
          <w:bCs/>
          <w:kern w:val="0"/>
          <w:sz w:val="28"/>
          <w:szCs w:val="28"/>
        </w:rPr>
      </w:pPr>
    </w:p>
    <w:p>
      <w:pPr>
        <w:widowControl/>
        <w:spacing w:line="600" w:lineRule="exact"/>
        <w:rPr>
          <w:rFonts w:hint="eastAsia" w:ascii="宋体" w:hAnsi="宋体" w:eastAsia="宋体" w:cs="宋体"/>
          <w:bCs/>
          <w:kern w:val="0"/>
          <w:sz w:val="28"/>
          <w:szCs w:val="28"/>
        </w:rPr>
      </w:pPr>
    </w:p>
    <w:p>
      <w:pPr>
        <w:widowControl/>
        <w:spacing w:line="600" w:lineRule="exact"/>
        <w:rPr>
          <w:rFonts w:hint="eastAsia" w:ascii="宋体" w:hAnsi="宋体" w:eastAsia="宋体" w:cs="宋体"/>
          <w:bCs/>
          <w:kern w:val="0"/>
          <w:sz w:val="28"/>
          <w:szCs w:val="28"/>
        </w:rPr>
      </w:pPr>
    </w:p>
    <w:p>
      <w:pPr>
        <w:widowControl/>
        <w:spacing w:line="600" w:lineRule="exact"/>
        <w:rPr>
          <w:rFonts w:hint="eastAsia" w:ascii="宋体" w:hAnsi="宋体" w:eastAsia="宋体" w:cs="宋体"/>
          <w:bCs/>
          <w:kern w:val="0"/>
          <w:sz w:val="28"/>
          <w:szCs w:val="28"/>
        </w:rPr>
      </w:pPr>
    </w:p>
    <w:p>
      <w:pPr>
        <w:widowControl/>
        <w:spacing w:line="600" w:lineRule="exact"/>
        <w:rPr>
          <w:rFonts w:hint="eastAsia" w:ascii="宋体" w:hAnsi="宋体" w:eastAsia="宋体" w:cs="宋体"/>
          <w:bCs/>
          <w:kern w:val="0"/>
          <w:sz w:val="28"/>
          <w:szCs w:val="28"/>
        </w:rPr>
      </w:pPr>
    </w:p>
    <w:p>
      <w:pPr>
        <w:widowControl/>
        <w:spacing w:line="600" w:lineRule="exact"/>
        <w:rPr>
          <w:rFonts w:hint="eastAsia" w:ascii="宋体" w:hAnsi="宋体" w:eastAsia="宋体" w:cs="宋体"/>
          <w:bCs/>
          <w:kern w:val="0"/>
          <w:sz w:val="28"/>
          <w:szCs w:val="28"/>
        </w:rPr>
      </w:pPr>
    </w:p>
    <w:p>
      <w:pPr>
        <w:widowControl/>
        <w:spacing w:line="600" w:lineRule="exact"/>
        <w:jc w:val="center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第一部分 部门预算说明</w:t>
      </w:r>
    </w:p>
    <w:p>
      <w:pPr>
        <w:widowControl/>
        <w:spacing w:line="600" w:lineRule="exact"/>
        <w:ind w:firstLine="548" w:firstLineChars="196"/>
        <w:jc w:val="left"/>
        <w:rPr>
          <w:rFonts w:hint="eastAsia" w:ascii="宋体" w:hAnsi="宋体" w:eastAsia="宋体" w:cs="宋体"/>
          <w:bCs/>
          <w:kern w:val="0"/>
          <w:sz w:val="28"/>
          <w:szCs w:val="28"/>
        </w:rPr>
      </w:pPr>
    </w:p>
    <w:p>
      <w:pPr>
        <w:widowControl/>
        <w:spacing w:line="600" w:lineRule="exact"/>
        <w:ind w:firstLine="548" w:firstLineChars="196"/>
        <w:jc w:val="lef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一、部门基本概况</w:t>
      </w:r>
    </w:p>
    <w:p>
      <w:pPr>
        <w:pStyle w:val="10"/>
        <w:numPr>
          <w:ilvl w:val="0"/>
          <w:numId w:val="0"/>
        </w:numPr>
        <w:spacing w:line="600" w:lineRule="exact"/>
        <w:ind w:firstLine="281" w:firstLineChars="100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1.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部门职责</w:t>
      </w:r>
    </w:p>
    <w:p>
      <w:pPr>
        <w:widowControl/>
        <w:spacing w:line="600" w:lineRule="exact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2020年的回龙圩管理区经济和信息化委员会部门由：回龙圩管理区安全生产监督管理局，回龙圩管理区交通局，回龙圩管理区商务局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组成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widowControl/>
        <w:spacing w:line="600" w:lineRule="exact"/>
        <w:ind w:firstLine="280" w:firstLineChars="1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回龙圩管理区经济和信息化委员会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主要职责：</w:t>
      </w:r>
    </w:p>
    <w:p>
      <w:pPr>
        <w:widowControl/>
        <w:spacing w:line="600" w:lineRule="exact"/>
        <w:ind w:firstLine="280" w:firstLineChars="1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加强安全生产工作领导，落实安全生产行政责任，强化安全生产监督管理，保障人民群众生命财产安全。</w:t>
      </w:r>
    </w:p>
    <w:p>
      <w:pPr>
        <w:widowControl/>
        <w:spacing w:line="600" w:lineRule="exact"/>
        <w:ind w:firstLine="280" w:firstLineChars="1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（一）贯彻执行国家有关交通行业的方针、政策和法律、法规；负责全区公路交通运输行业发展措施的制定与实施。</w:t>
      </w:r>
    </w:p>
    <w:p>
      <w:pPr>
        <w:widowControl/>
        <w:spacing w:line="600" w:lineRule="exact"/>
        <w:ind w:firstLine="280" w:firstLineChars="1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（二）组织编制本区交通基础设施、公共交通、综合运输发展规划，制定全区公路交通运输行业中长期计划并监督实施。</w:t>
      </w:r>
    </w:p>
    <w:p>
      <w:pPr>
        <w:widowControl/>
        <w:spacing w:line="600" w:lineRule="exact"/>
        <w:ind w:firstLine="280" w:firstLineChars="1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三）负责全区交通运输市场的规范化管理；负责全区汽车客货运输市场、运输场站、汽车维修的行业管理；负责全区乡村客运、城镇客运的线路经营权审批；负责全区国防交通保障工作，组织协调重大节假日旅客运输和抢险物资、救灾物资、重点物资、交通战备物资运输。</w:t>
      </w:r>
    </w:p>
    <w:p>
      <w:pPr>
        <w:widowControl/>
        <w:spacing w:line="600" w:lineRule="exact"/>
        <w:ind w:firstLine="280" w:firstLineChars="1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（四）负责管理交通建设市场；监督管理交通建设项目的招投标、工程造价、工程质量和施工安全工作；负责组织实施全区重大交通建设项目；负责管理公路路政及交通设施养护。</w:t>
      </w:r>
    </w:p>
    <w:p>
      <w:pPr>
        <w:widowControl/>
        <w:spacing w:line="600" w:lineRule="exact"/>
        <w:ind w:firstLine="280" w:firstLineChars="1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（五）负责全区交通运输行业的行政执法、组织、指导、协调并监督交通行业的行政执法及管理工作。</w:t>
      </w:r>
    </w:p>
    <w:p>
      <w:pPr>
        <w:pStyle w:val="10"/>
        <w:numPr>
          <w:ilvl w:val="0"/>
          <w:numId w:val="0"/>
        </w:num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（六）承办区党委、管委交办的其他事项。</w:t>
      </w:r>
    </w:p>
    <w:p>
      <w:pPr>
        <w:widowControl/>
        <w:spacing w:line="600" w:lineRule="exac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spacing w:line="600" w:lineRule="exac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pStyle w:val="5"/>
        <w:spacing w:before="0" w:beforeAutospacing="0" w:after="0" w:afterAutospacing="0"/>
        <w:rPr>
          <w:rFonts w:hint="eastAsia" w:ascii="宋体" w:hAnsi="宋体" w:eastAsia="宋体" w:cs="宋体"/>
          <w:kern w:val="2"/>
          <w:sz w:val="28"/>
          <w:szCs w:val="28"/>
        </w:rPr>
      </w:pPr>
    </w:p>
    <w:p>
      <w:pPr>
        <w:widowControl/>
        <w:spacing w:line="600" w:lineRule="exac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2、</w:t>
      </w:r>
      <w:r>
        <w:rPr>
          <w:rFonts w:hint="eastAsia" w:ascii="宋体" w:hAnsi="宋体" w:eastAsia="宋体" w:cs="宋体"/>
          <w:b/>
          <w:sz w:val="28"/>
          <w:szCs w:val="28"/>
        </w:rPr>
        <w:t>机构设置。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永州市回龙圩管理区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交通局</w:t>
      </w:r>
      <w:r>
        <w:rPr>
          <w:rFonts w:hint="eastAsia" w:ascii="宋体" w:hAnsi="宋体" w:eastAsia="宋体" w:cs="宋体"/>
          <w:sz w:val="28"/>
          <w:szCs w:val="28"/>
        </w:rPr>
        <w:t>现有工作人员共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名，配备主任1名，副主任1名。</w:t>
      </w:r>
    </w:p>
    <w:p>
      <w:pPr>
        <w:ind w:firstLine="546" w:firstLineChars="195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永州市回龙圩管理区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交通</w:t>
      </w:r>
      <w:r>
        <w:rPr>
          <w:rFonts w:hint="eastAsia" w:ascii="宋体" w:hAnsi="宋体" w:eastAsia="宋体" w:cs="宋体"/>
          <w:sz w:val="28"/>
          <w:szCs w:val="28"/>
        </w:rPr>
        <w:t>局是区管委下辖的正科级管理部门之一，是按照独立设置、独立运行的机构来管理的。下设4个职能股室，即办公室、财务室、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交通运输</w:t>
      </w:r>
      <w:r>
        <w:rPr>
          <w:rFonts w:hint="eastAsia" w:ascii="宋体" w:hAnsi="宋体" w:eastAsia="宋体" w:cs="宋体"/>
          <w:sz w:val="28"/>
          <w:szCs w:val="28"/>
        </w:rPr>
        <w:t>管理股和法制宣传股。现在岗工作人员共3人，其中局长1名。</w:t>
      </w:r>
    </w:p>
    <w:p>
      <w:pPr>
        <w:ind w:firstLine="546" w:firstLineChars="195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永州市回龙圩管理区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eastAsia="zh-CN"/>
        </w:rPr>
        <w:t>商务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局</w:t>
      </w:r>
      <w:r>
        <w:rPr>
          <w:rFonts w:hint="eastAsia" w:ascii="宋体" w:hAnsi="宋体" w:eastAsia="宋体" w:cs="宋体"/>
          <w:sz w:val="28"/>
          <w:szCs w:val="28"/>
        </w:rPr>
        <w:t>现在岗工作人员共2人，其中局长1名。</w:t>
      </w:r>
      <w:r>
        <w:rPr>
          <w:rFonts w:hint="eastAsia" w:ascii="宋体" w:hAnsi="宋体" w:eastAsia="宋体" w:cs="宋体"/>
          <w:w w:val="80"/>
          <w:sz w:val="28"/>
          <w:szCs w:val="28"/>
        </w:rPr>
        <w:t>下</w:t>
      </w:r>
      <w:r>
        <w:rPr>
          <w:rFonts w:hint="eastAsia" w:ascii="宋体" w:hAnsi="宋体" w:eastAsia="宋体" w:cs="宋体"/>
          <w:sz w:val="28"/>
          <w:szCs w:val="28"/>
        </w:rPr>
        <w:t>设4个职能股室，即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办公室、</w:t>
      </w:r>
      <w:r>
        <w:rPr>
          <w:rFonts w:hint="eastAsia" w:ascii="宋体" w:hAnsi="宋体" w:eastAsia="宋体" w:cs="宋体"/>
          <w:sz w:val="28"/>
          <w:szCs w:val="28"/>
        </w:rPr>
        <w:t>业务股、法规股、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商品流通办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46" w:firstLineChars="195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永州市回龙圩管理区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eastAsia="zh-CN"/>
        </w:rPr>
        <w:t>安监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局</w:t>
      </w:r>
      <w:r>
        <w:rPr>
          <w:rFonts w:hint="eastAsia" w:ascii="宋体" w:hAnsi="宋体" w:eastAsia="宋体" w:cs="宋体"/>
          <w:sz w:val="28"/>
          <w:szCs w:val="28"/>
        </w:rPr>
        <w:t>现在岗工作人员共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人，其中局长1名。</w:t>
      </w:r>
      <w:r>
        <w:rPr>
          <w:rFonts w:hint="eastAsia" w:ascii="宋体" w:hAnsi="宋体" w:eastAsia="宋体" w:cs="宋体"/>
          <w:w w:val="80"/>
          <w:sz w:val="28"/>
          <w:szCs w:val="28"/>
        </w:rPr>
        <w:t>下</w:t>
      </w:r>
      <w:r>
        <w:rPr>
          <w:rFonts w:hint="eastAsia" w:ascii="宋体" w:hAnsi="宋体" w:eastAsia="宋体" w:cs="宋体"/>
          <w:sz w:val="28"/>
          <w:szCs w:val="28"/>
        </w:rPr>
        <w:t>设4个职能股室，即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办公室、</w:t>
      </w:r>
      <w:r>
        <w:rPr>
          <w:rFonts w:hint="eastAsia" w:ascii="宋体" w:hAnsi="宋体" w:eastAsia="宋体" w:cs="宋体"/>
          <w:sz w:val="28"/>
          <w:szCs w:val="28"/>
        </w:rPr>
        <w:t>业务股、法规股、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安全生产监管股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widowControl/>
        <w:spacing w:line="600" w:lineRule="exact"/>
        <w:ind w:firstLine="548" w:firstLineChars="196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二、部门预算单位构成</w:t>
      </w:r>
    </w:p>
    <w:p>
      <w:pPr>
        <w:widowControl/>
        <w:spacing w:line="600" w:lineRule="exact"/>
        <w:ind w:firstLine="548" w:firstLineChars="196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本部门预算为汇总预算，纳入编制范围的预算单位包括：</w:t>
      </w:r>
    </w:p>
    <w:p>
      <w:pPr>
        <w:widowControl/>
        <w:spacing w:line="600" w:lineRule="exact"/>
        <w:ind w:firstLine="548" w:firstLineChars="196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交通</w:t>
      </w:r>
      <w:r>
        <w:rPr>
          <w:rFonts w:hint="eastAsia" w:ascii="宋体" w:hAnsi="宋体" w:eastAsia="宋体" w:cs="宋体"/>
          <w:sz w:val="28"/>
          <w:szCs w:val="28"/>
        </w:rPr>
        <w:t>局</w:t>
      </w:r>
    </w:p>
    <w:p>
      <w:pPr>
        <w:widowControl/>
        <w:spacing w:line="600" w:lineRule="exact"/>
        <w:ind w:firstLine="548" w:firstLineChars="196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商务</w:t>
      </w:r>
      <w:r>
        <w:rPr>
          <w:rFonts w:hint="eastAsia" w:ascii="宋体" w:hAnsi="宋体" w:eastAsia="宋体" w:cs="宋体"/>
          <w:sz w:val="28"/>
          <w:szCs w:val="28"/>
        </w:rPr>
        <w:t>局</w:t>
      </w:r>
    </w:p>
    <w:p>
      <w:pPr>
        <w:widowControl/>
        <w:spacing w:line="600" w:lineRule="exact"/>
        <w:ind w:firstLine="548" w:firstLineChars="196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安全生产管理</w:t>
      </w:r>
      <w:r>
        <w:rPr>
          <w:rFonts w:hint="eastAsia" w:ascii="宋体" w:hAnsi="宋体" w:eastAsia="宋体" w:cs="宋体"/>
          <w:sz w:val="28"/>
          <w:szCs w:val="28"/>
        </w:rPr>
        <w:t>局</w:t>
      </w:r>
    </w:p>
    <w:p>
      <w:pPr>
        <w:widowControl/>
        <w:spacing w:line="600" w:lineRule="exact"/>
        <w:ind w:firstLine="548" w:firstLineChars="196"/>
        <w:jc w:val="lef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三、部门收支总体情况</w:t>
      </w:r>
    </w:p>
    <w:p>
      <w:pPr>
        <w:widowControl/>
        <w:spacing w:line="600" w:lineRule="exact"/>
        <w:ind w:firstLine="551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（一）收入预算：</w:t>
      </w:r>
      <w:r>
        <w:rPr>
          <w:rFonts w:hint="eastAsia" w:ascii="宋体" w:hAnsi="宋体" w:eastAsia="宋体" w:cs="宋体"/>
          <w:sz w:val="28"/>
          <w:szCs w:val="28"/>
        </w:rPr>
        <w:t>2021年本部门收入预算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1832.45</w:t>
      </w:r>
      <w:r>
        <w:rPr>
          <w:rFonts w:hint="eastAsia" w:ascii="宋体" w:hAnsi="宋体" w:eastAsia="宋体" w:cs="宋体"/>
          <w:sz w:val="28"/>
          <w:szCs w:val="28"/>
        </w:rPr>
        <w:t>万元，其中，一般公共预算拨款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1832.45</w:t>
      </w:r>
      <w:r>
        <w:rPr>
          <w:rFonts w:hint="eastAsia" w:ascii="宋体" w:hAnsi="宋体" w:eastAsia="宋体" w:cs="宋体"/>
          <w:sz w:val="28"/>
          <w:szCs w:val="28"/>
        </w:rPr>
        <w:t>万元，政府性基金预算拨款0万元，国有资本经营预算拨款0万元，纳入专户管理的非税收入0万元。收入较去年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增加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1580.19</w:t>
      </w:r>
      <w:r>
        <w:rPr>
          <w:rFonts w:hint="eastAsia" w:ascii="宋体" w:hAnsi="宋体" w:eastAsia="宋体" w:cs="宋体"/>
          <w:sz w:val="28"/>
          <w:szCs w:val="28"/>
        </w:rPr>
        <w:t>万元，主要是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交通局增加了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G538道路建设的项目资金。</w:t>
      </w:r>
    </w:p>
    <w:p>
      <w:pPr>
        <w:widowControl/>
        <w:spacing w:line="600" w:lineRule="exact"/>
        <w:ind w:firstLine="551" w:firstLineChars="196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（二）支出预算：</w:t>
      </w:r>
      <w:r>
        <w:rPr>
          <w:rFonts w:hint="eastAsia" w:ascii="宋体" w:hAnsi="宋体" w:eastAsia="宋体" w:cs="宋体"/>
          <w:sz w:val="28"/>
          <w:szCs w:val="28"/>
        </w:rPr>
        <w:t>2021年本部门支出预算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1832.45</w:t>
      </w:r>
      <w:r>
        <w:rPr>
          <w:rFonts w:hint="eastAsia" w:ascii="宋体" w:hAnsi="宋体" w:eastAsia="宋体" w:cs="宋体"/>
          <w:sz w:val="28"/>
          <w:szCs w:val="28"/>
        </w:rPr>
        <w:t>万元，其中，一般公共服务支出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24.72</w:t>
      </w:r>
      <w:r>
        <w:rPr>
          <w:rFonts w:hint="eastAsia" w:ascii="宋体" w:hAnsi="宋体" w:eastAsia="宋体" w:cs="宋体"/>
          <w:sz w:val="28"/>
          <w:szCs w:val="28"/>
        </w:rPr>
        <w:t>万元，支出较去年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增加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7.93</w:t>
      </w:r>
      <w:r>
        <w:rPr>
          <w:rFonts w:hint="eastAsia" w:ascii="宋体" w:hAnsi="宋体" w:eastAsia="宋体" w:cs="宋体"/>
          <w:sz w:val="28"/>
          <w:szCs w:val="28"/>
        </w:rPr>
        <w:t>万元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交通运输支出1749.46万元，较去年增加了94.51%，主要是增加了G528项目。商业服务支出21万元，粮油物资储备支出21.55万元。灾害防治及应急管理支出15.72万元，较去年减少48.68%.</w:t>
      </w: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spacing w:line="600" w:lineRule="exact"/>
        <w:ind w:firstLine="66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2021年本部门一般公共预算拨款支出预算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1832.45</w:t>
      </w:r>
      <w:r>
        <w:rPr>
          <w:rFonts w:hint="eastAsia" w:ascii="宋体" w:hAnsi="宋体" w:eastAsia="宋体" w:cs="宋体"/>
          <w:sz w:val="28"/>
          <w:szCs w:val="28"/>
        </w:rPr>
        <w:t>万元，其中，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其中经费拨款</w:t>
      </w:r>
      <w:r>
        <w:rPr>
          <w:rFonts w:hint="eastAsia" w:ascii="宋体" w:hAnsi="宋体" w:eastAsia="宋体" w:cs="宋体"/>
          <w:sz w:val="28"/>
          <w:szCs w:val="28"/>
        </w:rPr>
        <w:t>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188.30</w:t>
      </w:r>
      <w:r>
        <w:rPr>
          <w:rFonts w:hint="eastAsia" w:ascii="宋体" w:hAnsi="宋体" w:eastAsia="宋体" w:cs="宋体"/>
          <w:sz w:val="28"/>
          <w:szCs w:val="28"/>
        </w:rPr>
        <w:t>万元，占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10.26</w:t>
      </w:r>
      <w:r>
        <w:rPr>
          <w:rFonts w:hint="eastAsia" w:ascii="宋体" w:hAnsi="宋体" w:eastAsia="宋体" w:cs="宋体"/>
          <w:sz w:val="28"/>
          <w:szCs w:val="28"/>
        </w:rPr>
        <w:t>%；具体安排情况如下：</w:t>
      </w:r>
    </w:p>
    <w:p>
      <w:pPr>
        <w:pStyle w:val="2"/>
        <w:bidi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（一）基本支出：</w:t>
      </w:r>
      <w:r>
        <w:rPr>
          <w:rFonts w:hint="eastAsia" w:ascii="宋体" w:hAnsi="宋体" w:eastAsia="宋体" w:cs="宋体"/>
          <w:sz w:val="28"/>
          <w:szCs w:val="28"/>
        </w:rPr>
        <w:t>2021年本部门基本支出预算数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188.30</w:t>
      </w:r>
      <w:r>
        <w:rPr>
          <w:rFonts w:hint="eastAsia" w:ascii="宋体" w:hAnsi="宋体" w:eastAsia="宋体" w:cs="宋体"/>
          <w:sz w:val="28"/>
          <w:szCs w:val="28"/>
        </w:rPr>
        <w:t>万元，主要是为保障部门正常运转、</w:t>
      </w:r>
      <w:r>
        <w:rPr>
          <w:rFonts w:hint="eastAsia" w:ascii="宋体" w:hAnsi="宋体" w:eastAsia="宋体" w:cs="宋体"/>
          <w:i/>
          <w:sz w:val="28"/>
          <w:szCs w:val="28"/>
        </w:rPr>
        <w:t>完</w:t>
      </w:r>
      <w:r>
        <w:rPr>
          <w:rFonts w:hint="eastAsia" w:ascii="宋体" w:hAnsi="宋体" w:eastAsia="宋体" w:cs="宋体"/>
          <w:sz w:val="28"/>
          <w:szCs w:val="28"/>
        </w:rPr>
        <w:t>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（二）项目支出：</w:t>
      </w:r>
      <w:r>
        <w:rPr>
          <w:rFonts w:hint="eastAsia" w:ascii="宋体" w:hAnsi="宋体" w:eastAsia="宋体" w:cs="宋体"/>
          <w:sz w:val="28"/>
          <w:szCs w:val="28"/>
        </w:rPr>
        <w:t>2021年本部门项目支出预算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1664.15</w:t>
      </w:r>
      <w:r>
        <w:rPr>
          <w:rFonts w:hint="eastAsia" w:ascii="宋体" w:hAnsi="宋体" w:eastAsia="宋体" w:cs="宋体"/>
          <w:sz w:val="28"/>
          <w:szCs w:val="28"/>
        </w:rPr>
        <w:t>万元，主要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G538道路项目</w:t>
      </w:r>
      <w:r>
        <w:rPr>
          <w:rFonts w:hint="eastAsia" w:ascii="宋体" w:hAnsi="宋体" w:eastAsia="宋体" w:cs="宋体"/>
          <w:sz w:val="28"/>
          <w:szCs w:val="28"/>
        </w:rPr>
        <w:t>支出。</w:t>
      </w:r>
    </w:p>
    <w:p>
      <w:pPr>
        <w:widowControl/>
        <w:spacing w:line="600" w:lineRule="exact"/>
        <w:ind w:firstLine="66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2021年本部门政府性基金支出预算0万元，本部门无政府性基金安排的支出</w:t>
      </w: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六、其他重要事项的情况说明</w:t>
      </w:r>
    </w:p>
    <w:p>
      <w:pPr>
        <w:widowControl/>
        <w:spacing w:line="600" w:lineRule="exact"/>
        <w:ind w:firstLine="275" w:firstLineChars="98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（一）机关运行经费：</w:t>
      </w:r>
      <w:r>
        <w:rPr>
          <w:rFonts w:hint="eastAsia" w:ascii="宋体" w:hAnsi="宋体" w:eastAsia="宋体" w:cs="宋体"/>
          <w:sz w:val="28"/>
          <w:szCs w:val="28"/>
        </w:rPr>
        <w:t>2021年本部门机关行政事业单位的机关运行经费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33.2</w:t>
      </w:r>
      <w:r>
        <w:rPr>
          <w:rFonts w:hint="eastAsia" w:ascii="宋体" w:hAnsi="宋体" w:eastAsia="宋体" w:cs="宋体"/>
          <w:sz w:val="28"/>
          <w:szCs w:val="28"/>
        </w:rPr>
        <w:t>万元，比上年预算减少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26.38%</w:t>
      </w:r>
      <w:r>
        <w:rPr>
          <w:rFonts w:hint="eastAsia" w:ascii="宋体" w:hAnsi="宋体" w:eastAsia="宋体" w:cs="宋体"/>
          <w:sz w:val="28"/>
          <w:szCs w:val="28"/>
        </w:rPr>
        <w:t>主要是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G538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项目申报工作经费</w:t>
      </w:r>
      <w:r>
        <w:rPr>
          <w:rFonts w:hint="eastAsia" w:ascii="宋体" w:hAnsi="宋体" w:eastAsia="宋体" w:cs="宋体"/>
          <w:sz w:val="28"/>
          <w:szCs w:val="28"/>
        </w:rPr>
        <w:t>减少。</w:t>
      </w:r>
    </w:p>
    <w:p>
      <w:pPr>
        <w:widowControl/>
        <w:spacing w:line="600" w:lineRule="exact"/>
        <w:ind w:firstLine="273" w:firstLineChars="97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（二）“三公”经费预算：</w:t>
      </w:r>
      <w:r>
        <w:rPr>
          <w:rFonts w:hint="eastAsia" w:ascii="宋体" w:hAnsi="宋体" w:eastAsia="宋体" w:cs="宋体"/>
          <w:sz w:val="28"/>
          <w:szCs w:val="28"/>
        </w:rPr>
        <w:t>2021年本部门 “三公”经费预算数为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</w:t>
      </w:r>
      <w:r>
        <w:rPr>
          <w:rFonts w:hint="eastAsia" w:ascii="宋体" w:hAnsi="宋体" w:eastAsia="宋体" w:cs="宋体"/>
          <w:sz w:val="28"/>
          <w:szCs w:val="28"/>
        </w:rPr>
        <w:t>万元，</w:t>
      </w:r>
      <w:r>
        <w:rPr>
          <w:rFonts w:hint="eastAsia" w:ascii="宋体" w:hAnsi="宋体" w:cs="宋体"/>
          <w:sz w:val="28"/>
          <w:szCs w:val="28"/>
          <w:lang w:eastAsia="zh-CN"/>
        </w:rPr>
        <w:t>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2020年持平，</w:t>
      </w:r>
      <w:r>
        <w:rPr>
          <w:rFonts w:hint="eastAsia" w:ascii="宋体" w:hAnsi="宋体" w:eastAsia="宋体" w:cs="宋体"/>
          <w:sz w:val="28"/>
          <w:szCs w:val="28"/>
        </w:rPr>
        <w:t>其中公务接待费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</w:t>
      </w:r>
      <w:r>
        <w:rPr>
          <w:rFonts w:hint="eastAsia" w:ascii="宋体" w:hAnsi="宋体" w:eastAsia="宋体" w:cs="宋体"/>
          <w:sz w:val="28"/>
          <w:szCs w:val="28"/>
        </w:rPr>
        <w:t>元，公务用车购置及运行费0万元（其中，公务用车购置费 0万元，公务用车运行费 0万元），因公出国（境）费0万元。</w:t>
      </w:r>
    </w:p>
    <w:p>
      <w:pPr>
        <w:widowControl/>
        <w:spacing w:line="600" w:lineRule="exact"/>
        <w:ind w:firstLine="273" w:firstLineChars="97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（三）一般性支出情况：</w:t>
      </w:r>
      <w:r>
        <w:rPr>
          <w:rFonts w:hint="eastAsia" w:ascii="宋体" w:hAnsi="宋体" w:eastAsia="宋体" w:cs="宋体"/>
          <w:kern w:val="0"/>
          <w:sz w:val="28"/>
          <w:szCs w:val="28"/>
        </w:rPr>
        <w:t>2021年本部门会议费预算0万元。</w:t>
      </w:r>
    </w:p>
    <w:p>
      <w:pPr>
        <w:widowControl/>
        <w:spacing w:line="600" w:lineRule="exact"/>
        <w:ind w:firstLine="275" w:firstLineChars="9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（四）政府采购情况：</w:t>
      </w:r>
      <w:r>
        <w:rPr>
          <w:rFonts w:hint="eastAsia" w:ascii="宋体" w:hAnsi="宋体" w:eastAsia="宋体" w:cs="宋体"/>
          <w:sz w:val="28"/>
          <w:szCs w:val="28"/>
        </w:rPr>
        <w:t>2021年本部门政府采购预算总额8万元，其中，货物类采购预算8万元；工程类采购预算0万元；服务类采购预算0万元。</w:t>
      </w:r>
    </w:p>
    <w:p>
      <w:pPr>
        <w:spacing w:line="600" w:lineRule="exact"/>
        <w:ind w:firstLine="413" w:firstLineChars="147"/>
        <w:rPr>
          <w:rFonts w:hint="eastAsia" w:ascii="宋体" w:hAnsi="宋体" w:eastAsia="宋体" w:cs="宋体"/>
          <w:kern w:val="0"/>
          <w:sz w:val="28"/>
          <w:szCs w:val="28"/>
          <w:u w:val="dotDash" w:color="FFFFFF" w:themeColor="background1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（五）国有资产占用使用及新增资产配置情况：</w:t>
      </w:r>
      <w:r>
        <w:rPr>
          <w:rFonts w:hint="eastAsia" w:ascii="宋体" w:hAnsi="宋体" w:eastAsia="宋体" w:cs="宋体"/>
          <w:sz w:val="28"/>
          <w:szCs w:val="28"/>
        </w:rPr>
        <w:t>截至2020年12月底，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本单位共有车辆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辆（车改革后移至后管中心使用，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eastAsia="zh-CN"/>
        </w:rPr>
        <w:t>资产未过户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），其中，机要通信用车0辆，应急保障用车0辆，执法执勤用车0辆，特种专业技术用车0辆，其他按照规定配备的公务用车0辆。</w:t>
      </w:r>
    </w:p>
    <w:p>
      <w:pPr>
        <w:widowControl/>
        <w:spacing w:line="600" w:lineRule="exact"/>
        <w:ind w:firstLine="660"/>
        <w:jc w:val="lef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（六）预算绩效目标说明：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本部门所有支出实行绩效目标管理。纳入2021年部门整体支出绩效目标的金额为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1832.45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元，其中，基本支出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  <w:t>188.30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万元，项目支出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  <w:t>1832.45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万元. </w:t>
      </w:r>
    </w:p>
    <w:p>
      <w:pPr>
        <w:widowControl/>
        <w:spacing w:line="600" w:lineRule="exact"/>
        <w:ind w:firstLine="6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七、名词解释</w:t>
      </w:r>
    </w:p>
    <w:p>
      <w:pPr>
        <w:widowControl/>
        <w:spacing w:line="600" w:lineRule="exact"/>
        <w:ind w:firstLine="6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spacing w:line="6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600" w:lineRule="exact"/>
        <w:rPr>
          <w:sz w:val="24"/>
          <w:szCs w:val="24"/>
        </w:rPr>
      </w:pPr>
    </w:p>
    <w:p>
      <w:pPr>
        <w:spacing w:line="600" w:lineRule="exact"/>
        <w:rPr>
          <w:sz w:val="24"/>
          <w:szCs w:val="24"/>
        </w:rPr>
      </w:pPr>
    </w:p>
    <w:p>
      <w:pPr>
        <w:spacing w:line="600" w:lineRule="exact"/>
        <w:rPr>
          <w:sz w:val="24"/>
          <w:szCs w:val="24"/>
        </w:rPr>
      </w:pPr>
    </w:p>
    <w:p>
      <w:pPr>
        <w:spacing w:line="600" w:lineRule="exact"/>
        <w:rPr>
          <w:sz w:val="24"/>
          <w:szCs w:val="24"/>
        </w:rPr>
      </w:pPr>
    </w:p>
    <w:p>
      <w:pPr>
        <w:spacing w:line="600" w:lineRule="exact"/>
        <w:rPr>
          <w:sz w:val="24"/>
          <w:szCs w:val="24"/>
        </w:rPr>
      </w:pPr>
    </w:p>
    <w:p>
      <w:pPr>
        <w:spacing w:line="600" w:lineRule="exact"/>
        <w:rPr>
          <w:sz w:val="24"/>
          <w:szCs w:val="24"/>
        </w:rPr>
      </w:pPr>
      <w:bookmarkStart w:id="0" w:name="_GoBack"/>
      <w:bookmarkEnd w:id="0"/>
    </w:p>
    <w:p>
      <w:pPr>
        <w:spacing w:line="600" w:lineRule="exact"/>
        <w:rPr>
          <w:sz w:val="24"/>
          <w:szCs w:val="24"/>
        </w:rPr>
      </w:pPr>
    </w:p>
    <w:p>
      <w:pPr>
        <w:spacing w:line="600" w:lineRule="exact"/>
        <w:rPr>
          <w:sz w:val="24"/>
          <w:szCs w:val="24"/>
        </w:rPr>
      </w:pPr>
    </w:p>
    <w:p>
      <w:pPr>
        <w:spacing w:line="600" w:lineRule="exact"/>
        <w:rPr>
          <w:sz w:val="24"/>
          <w:szCs w:val="24"/>
        </w:rPr>
      </w:pPr>
    </w:p>
    <w:p>
      <w:pPr>
        <w:spacing w:line="600" w:lineRule="exact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7C0"/>
    <w:rsid w:val="00011244"/>
    <w:rsid w:val="00084BCF"/>
    <w:rsid w:val="00102E7B"/>
    <w:rsid w:val="00125A44"/>
    <w:rsid w:val="001A09CB"/>
    <w:rsid w:val="001A3F2F"/>
    <w:rsid w:val="001B329B"/>
    <w:rsid w:val="001D010B"/>
    <w:rsid w:val="001E715F"/>
    <w:rsid w:val="002857CD"/>
    <w:rsid w:val="002A362F"/>
    <w:rsid w:val="002D4430"/>
    <w:rsid w:val="003126CF"/>
    <w:rsid w:val="00374048"/>
    <w:rsid w:val="00393AA4"/>
    <w:rsid w:val="003F5C1E"/>
    <w:rsid w:val="004F0FE1"/>
    <w:rsid w:val="005171E9"/>
    <w:rsid w:val="0053065B"/>
    <w:rsid w:val="005A3C7F"/>
    <w:rsid w:val="00650E57"/>
    <w:rsid w:val="006D4610"/>
    <w:rsid w:val="00721907"/>
    <w:rsid w:val="007233DF"/>
    <w:rsid w:val="00741DF4"/>
    <w:rsid w:val="007B5911"/>
    <w:rsid w:val="007C26E6"/>
    <w:rsid w:val="007F319A"/>
    <w:rsid w:val="00843595"/>
    <w:rsid w:val="00844E49"/>
    <w:rsid w:val="00864FE0"/>
    <w:rsid w:val="00900682"/>
    <w:rsid w:val="00941EED"/>
    <w:rsid w:val="00960B1E"/>
    <w:rsid w:val="009B47FF"/>
    <w:rsid w:val="009C2004"/>
    <w:rsid w:val="00A27BFF"/>
    <w:rsid w:val="00A55BA0"/>
    <w:rsid w:val="00A63A51"/>
    <w:rsid w:val="00AD6EA3"/>
    <w:rsid w:val="00AE2B1A"/>
    <w:rsid w:val="00C1041B"/>
    <w:rsid w:val="00C46DD4"/>
    <w:rsid w:val="00C90F6F"/>
    <w:rsid w:val="00D00B4B"/>
    <w:rsid w:val="00D83615"/>
    <w:rsid w:val="00D948A2"/>
    <w:rsid w:val="00D96573"/>
    <w:rsid w:val="00DA60DC"/>
    <w:rsid w:val="00DD28D9"/>
    <w:rsid w:val="00E1312D"/>
    <w:rsid w:val="00E50930"/>
    <w:rsid w:val="00E847B5"/>
    <w:rsid w:val="00E947C0"/>
    <w:rsid w:val="00EF1D93"/>
    <w:rsid w:val="00EF7864"/>
    <w:rsid w:val="00F41D3A"/>
    <w:rsid w:val="00F54B20"/>
    <w:rsid w:val="00F57584"/>
    <w:rsid w:val="00F8654C"/>
    <w:rsid w:val="00FA142E"/>
    <w:rsid w:val="01BC24B7"/>
    <w:rsid w:val="02251F56"/>
    <w:rsid w:val="024B7893"/>
    <w:rsid w:val="027749E1"/>
    <w:rsid w:val="030833CB"/>
    <w:rsid w:val="037A226D"/>
    <w:rsid w:val="05D7390D"/>
    <w:rsid w:val="06AA2051"/>
    <w:rsid w:val="083E4717"/>
    <w:rsid w:val="097B2388"/>
    <w:rsid w:val="09AF3DAA"/>
    <w:rsid w:val="0C2A4F16"/>
    <w:rsid w:val="0C8203F9"/>
    <w:rsid w:val="0CAF3069"/>
    <w:rsid w:val="0D0F1AEC"/>
    <w:rsid w:val="0D657360"/>
    <w:rsid w:val="0DB55B53"/>
    <w:rsid w:val="0DB945B1"/>
    <w:rsid w:val="0DBF09E6"/>
    <w:rsid w:val="0DDB01CB"/>
    <w:rsid w:val="0F8047DD"/>
    <w:rsid w:val="11646758"/>
    <w:rsid w:val="11C34DDC"/>
    <w:rsid w:val="12366F12"/>
    <w:rsid w:val="12442B3B"/>
    <w:rsid w:val="12D116CF"/>
    <w:rsid w:val="12F249F9"/>
    <w:rsid w:val="133A76FA"/>
    <w:rsid w:val="14A6192D"/>
    <w:rsid w:val="14BE6910"/>
    <w:rsid w:val="14ED3950"/>
    <w:rsid w:val="15E749D1"/>
    <w:rsid w:val="16234C38"/>
    <w:rsid w:val="16F51CAB"/>
    <w:rsid w:val="176D75C1"/>
    <w:rsid w:val="17DC529B"/>
    <w:rsid w:val="18BC5BF7"/>
    <w:rsid w:val="19A6600F"/>
    <w:rsid w:val="1A9F2194"/>
    <w:rsid w:val="1BCF358C"/>
    <w:rsid w:val="1BFE03EA"/>
    <w:rsid w:val="1EB922DD"/>
    <w:rsid w:val="1EF77D96"/>
    <w:rsid w:val="1FB46FE6"/>
    <w:rsid w:val="2042741F"/>
    <w:rsid w:val="20B80D98"/>
    <w:rsid w:val="216A706B"/>
    <w:rsid w:val="21BA6657"/>
    <w:rsid w:val="23940B56"/>
    <w:rsid w:val="23C15F24"/>
    <w:rsid w:val="23E965B6"/>
    <w:rsid w:val="24294657"/>
    <w:rsid w:val="253B28E9"/>
    <w:rsid w:val="257810DE"/>
    <w:rsid w:val="25D303B1"/>
    <w:rsid w:val="2608400C"/>
    <w:rsid w:val="288F7618"/>
    <w:rsid w:val="296207F0"/>
    <w:rsid w:val="29E97C76"/>
    <w:rsid w:val="2DF554AD"/>
    <w:rsid w:val="302813A9"/>
    <w:rsid w:val="30457709"/>
    <w:rsid w:val="31194F5C"/>
    <w:rsid w:val="33E70CFF"/>
    <w:rsid w:val="35060F63"/>
    <w:rsid w:val="3775546A"/>
    <w:rsid w:val="38513AA8"/>
    <w:rsid w:val="397B3229"/>
    <w:rsid w:val="39AA47DA"/>
    <w:rsid w:val="39B0199F"/>
    <w:rsid w:val="3C632F7D"/>
    <w:rsid w:val="3D3254BB"/>
    <w:rsid w:val="3EC8114A"/>
    <w:rsid w:val="40DD16E9"/>
    <w:rsid w:val="41015BFC"/>
    <w:rsid w:val="4216550A"/>
    <w:rsid w:val="422C0371"/>
    <w:rsid w:val="42377E0A"/>
    <w:rsid w:val="433D53AB"/>
    <w:rsid w:val="437E3838"/>
    <w:rsid w:val="44DC7851"/>
    <w:rsid w:val="46473BA5"/>
    <w:rsid w:val="472E3639"/>
    <w:rsid w:val="49233B9A"/>
    <w:rsid w:val="494B5154"/>
    <w:rsid w:val="4AD67D44"/>
    <w:rsid w:val="4BE3443B"/>
    <w:rsid w:val="4C391DC0"/>
    <w:rsid w:val="4C6F6B79"/>
    <w:rsid w:val="4E3141A2"/>
    <w:rsid w:val="4E944EE9"/>
    <w:rsid w:val="4F814FA4"/>
    <w:rsid w:val="510675A9"/>
    <w:rsid w:val="510F1640"/>
    <w:rsid w:val="546A22F0"/>
    <w:rsid w:val="54A24EFE"/>
    <w:rsid w:val="54C2517F"/>
    <w:rsid w:val="56C7303B"/>
    <w:rsid w:val="577266B2"/>
    <w:rsid w:val="57C955D9"/>
    <w:rsid w:val="58086497"/>
    <w:rsid w:val="580D20D5"/>
    <w:rsid w:val="587435DA"/>
    <w:rsid w:val="599F39AD"/>
    <w:rsid w:val="59EA7C43"/>
    <w:rsid w:val="5AE16A17"/>
    <w:rsid w:val="5B02493C"/>
    <w:rsid w:val="5B060FC1"/>
    <w:rsid w:val="5C9F379F"/>
    <w:rsid w:val="5D7E2418"/>
    <w:rsid w:val="5DE628E9"/>
    <w:rsid w:val="5E1F54D7"/>
    <w:rsid w:val="5EC429E0"/>
    <w:rsid w:val="5EF84B7A"/>
    <w:rsid w:val="5F9C1BF0"/>
    <w:rsid w:val="61457C9E"/>
    <w:rsid w:val="618D3469"/>
    <w:rsid w:val="63C94947"/>
    <w:rsid w:val="640178DC"/>
    <w:rsid w:val="64096E51"/>
    <w:rsid w:val="64EE27A7"/>
    <w:rsid w:val="64FE5EED"/>
    <w:rsid w:val="655F3910"/>
    <w:rsid w:val="66733DC1"/>
    <w:rsid w:val="66856E2E"/>
    <w:rsid w:val="675D5918"/>
    <w:rsid w:val="67705057"/>
    <w:rsid w:val="68027EC1"/>
    <w:rsid w:val="6805576B"/>
    <w:rsid w:val="68153AE9"/>
    <w:rsid w:val="683751C7"/>
    <w:rsid w:val="6A654B09"/>
    <w:rsid w:val="6ACB0411"/>
    <w:rsid w:val="6C25743C"/>
    <w:rsid w:val="6CA22C80"/>
    <w:rsid w:val="6D085F0F"/>
    <w:rsid w:val="6D233418"/>
    <w:rsid w:val="6E32744D"/>
    <w:rsid w:val="6E5224E4"/>
    <w:rsid w:val="6F7366BD"/>
    <w:rsid w:val="700534D8"/>
    <w:rsid w:val="70993898"/>
    <w:rsid w:val="71A909D3"/>
    <w:rsid w:val="71CF1BD1"/>
    <w:rsid w:val="73D64BA3"/>
    <w:rsid w:val="73DD7990"/>
    <w:rsid w:val="76B24BBF"/>
    <w:rsid w:val="76ED2077"/>
    <w:rsid w:val="79255C93"/>
    <w:rsid w:val="799A5AF8"/>
    <w:rsid w:val="7A3D6F67"/>
    <w:rsid w:val="7AD11B14"/>
    <w:rsid w:val="7AF46A7C"/>
    <w:rsid w:val="7BEB1DD2"/>
    <w:rsid w:val="7DE94B00"/>
    <w:rsid w:val="7E50631F"/>
    <w:rsid w:val="7E6E00A8"/>
    <w:rsid w:val="7EBF18F0"/>
    <w:rsid w:val="7F226C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570</Words>
  <Characters>3250</Characters>
  <Lines>27</Lines>
  <Paragraphs>7</Paragraphs>
  <TotalTime>5</TotalTime>
  <ScaleCrop>false</ScaleCrop>
  <LinksUpToDate>false</LinksUpToDate>
  <CharactersWithSpaces>3813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Fghji</dc:creator>
  <cp:lastModifiedBy>Bemice</cp:lastModifiedBy>
  <dcterms:modified xsi:type="dcterms:W3CDTF">2021-11-08T03:27:27Z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5C46A8097D374F4893E7BF19F53B58BD</vt:lpwstr>
  </property>
</Properties>
</file>