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44"/>
          <w:szCs w:val="44"/>
          <w:lang w:eastAsia="zh-CN"/>
        </w:rPr>
      </w:pPr>
      <w:r>
        <w:rPr>
          <w:rFonts w:eastAsia="黑体"/>
          <w:sz w:val="32"/>
          <w:szCs w:val="32"/>
        </w:rPr>
        <w:t xml:space="preserve"> </w:t>
      </w: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2021</w:t>
      </w:r>
      <w:r>
        <w:rPr>
          <w:rFonts w:eastAsia="方正小标宋_GBK"/>
          <w:bCs/>
          <w:kern w:val="0"/>
          <w:sz w:val="44"/>
          <w:szCs w:val="44"/>
        </w:rPr>
        <w:t>年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回龙圩管理区社保医保管</w:t>
      </w:r>
      <w:bookmarkStart w:id="0" w:name="_GoBack"/>
      <w:bookmarkEnd w:id="0"/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理中心</w:t>
      </w: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44"/>
          <w:szCs w:val="44"/>
          <w:lang w:eastAsia="zh-CN"/>
        </w:rPr>
      </w:pPr>
      <w:r>
        <w:rPr>
          <w:rFonts w:eastAsia="方正小标宋_GBK"/>
          <w:bCs/>
          <w:kern w:val="0"/>
          <w:sz w:val="44"/>
          <w:szCs w:val="44"/>
        </w:rPr>
        <w:t>部门预算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报告说明</w:t>
      </w: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目 录</w:t>
      </w:r>
    </w:p>
    <w:p>
      <w:pPr>
        <w:widowControl/>
        <w:spacing w:line="600" w:lineRule="exact"/>
        <w:ind w:firstLine="643" w:firstLineChars="200"/>
        <w:rPr>
          <w:rFonts w:eastAsia="方正小标宋_GBK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hint="eastAsia" w:eastAsia="方正小标宋_GBK"/>
          <w:b/>
          <w:bCs/>
          <w:kern w:val="0"/>
          <w:sz w:val="32"/>
          <w:szCs w:val="32"/>
          <w:lang w:val="en-US" w:eastAsia="zh-CN"/>
        </w:rPr>
        <w:t>2021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2021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br w:type="page"/>
      </w:r>
      <w:r>
        <w:rPr>
          <w:rFonts w:eastAsia="方正小标宋_GBK"/>
          <w:bCs/>
          <w:kern w:val="0"/>
          <w:sz w:val="36"/>
          <w:szCs w:val="36"/>
        </w:rPr>
        <w:t>第一部分 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</w:t>
      </w:r>
    </w:p>
    <w:p>
      <w:pPr>
        <w:widowControl/>
        <w:spacing w:line="600" w:lineRule="exact"/>
        <w:ind w:firstLine="627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管理好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区的基本养老保险、基本医疗保险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、工伤保险。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制定区内基本养老保险，医疗保险的实施方案和管理制度，收缴社会保险费并进行监督检查，发放养老金、医疗费，收集、整理、传递社保医保信息并提供信息服务。</w:t>
      </w:r>
    </w:p>
    <w:p>
      <w:pPr>
        <w:widowControl/>
        <w:numPr>
          <w:ilvl w:val="0"/>
          <w:numId w:val="1"/>
        </w:numPr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机构设置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回龙圩管理区社保医保管理中心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单位内设机构包括：办公室、财务股、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参保股、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征缴股4个股室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本部门预算为汇总预算，纳入编制范围的预算单位</w:t>
      </w:r>
      <w:r>
        <w:rPr>
          <w:rFonts w:hint="eastAsia" w:eastAsia="仿宋_GB2312"/>
          <w:sz w:val="32"/>
          <w:szCs w:val="32"/>
          <w:lang w:eastAsia="zh-CN"/>
        </w:rPr>
        <w:t>包括：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回龙圩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管理区社保医保管理中心</w:t>
      </w:r>
      <w:r>
        <w:rPr>
          <w:rFonts w:eastAsia="仿宋_GB2312"/>
          <w:sz w:val="32"/>
          <w:szCs w:val="32"/>
        </w:rPr>
        <w:t>部门本级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lang w:val="en-US" w:eastAsia="zh-CN"/>
        </w:rPr>
        <w:t>2021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1513.64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1513.64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</w:t>
      </w:r>
      <w:r>
        <w:rPr>
          <w:rFonts w:ascii="Times New Roman" w:hAnsi="Times New Roman" w:eastAsia="仿宋_GB2312" w:cs="Times New Roman"/>
          <w:sz w:val="32"/>
          <w:szCs w:val="32"/>
        </w:rPr>
        <w:t>收入较去年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3857.42万元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减少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2343.78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万元，主要是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因为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2020年全区在职人员六大险种的单位部分缴费全部放在本单位预算，2021六大险种的预算分到各单位预算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  <w:lang w:val="en-US" w:eastAsia="zh-CN"/>
        </w:rPr>
        <w:t>2021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1513.64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</w:rPr>
        <w:t>社会保障和就业支出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1209.69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卫生健康支出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258.95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农林水支出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45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支出较去年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3857.42万元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2343.78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万元，主要是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因为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2020年全区在职人员六大险种的单位部分缴费全部放在本单位预算，2021六大险种的预算分到各单位预算。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2021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1513.64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1513.64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100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 xml:space="preserve"> %；具体安排情况如下：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hint="eastAsia" w:eastAsia="仿宋_GB2312"/>
          <w:sz w:val="32"/>
          <w:szCs w:val="32"/>
          <w:lang w:val="en-US" w:eastAsia="zh-CN"/>
        </w:rPr>
        <w:t>2021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1510.04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  <w:lang w:val="en-US" w:eastAsia="zh-CN"/>
        </w:rPr>
        <w:t>2021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3.6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万元，主要是部门为完成</w:t>
      </w:r>
      <w:r>
        <w:rPr>
          <w:rFonts w:hint="eastAsia" w:eastAsia="仿宋_GB2312"/>
          <w:sz w:val="32"/>
          <w:szCs w:val="32"/>
          <w:lang w:eastAsia="zh-CN"/>
        </w:rPr>
        <w:t>医疗救助</w:t>
      </w:r>
      <w:r>
        <w:rPr>
          <w:rFonts w:eastAsia="仿宋_GB2312"/>
          <w:sz w:val="32"/>
          <w:szCs w:val="32"/>
        </w:rPr>
        <w:t>工作任务或事业发展目标而发生的支出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2021</w:t>
      </w:r>
      <w:r>
        <w:rPr>
          <w:rFonts w:eastAsia="仿宋_GB2312"/>
          <w:sz w:val="32"/>
          <w:szCs w:val="32"/>
        </w:rPr>
        <w:t>年本部门政府性基金支出预算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万元，其中，科学技术支出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 xml:space="preserve"> %；文化旅游体育与传媒支出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 xml:space="preserve"> %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  <w:lang w:val="en-US" w:eastAsia="zh-CN"/>
        </w:rPr>
        <w:t>2021</w:t>
      </w:r>
      <w:r>
        <w:rPr>
          <w:rFonts w:eastAsia="仿宋_GB2312"/>
          <w:sz w:val="32"/>
          <w:szCs w:val="32"/>
        </w:rPr>
        <w:t>年本部门机关运行经费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25.06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万元，比上年预算</w:t>
      </w:r>
      <w:r>
        <w:rPr>
          <w:rFonts w:hint="eastAsia" w:eastAsia="仿宋_GB2312"/>
          <w:sz w:val="32"/>
          <w:szCs w:val="32"/>
          <w:lang w:val="en-US" w:eastAsia="zh-CN"/>
        </w:rPr>
        <w:t>24.76</w:t>
      </w:r>
      <w:r>
        <w:rPr>
          <w:rFonts w:eastAsia="仿宋_GB2312"/>
          <w:sz w:val="32"/>
          <w:szCs w:val="32"/>
        </w:rPr>
        <w:t>增加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0.3</w:t>
      </w:r>
      <w:r>
        <w:rPr>
          <w:rFonts w:eastAsia="仿宋_GB2312"/>
          <w:sz w:val="32"/>
          <w:szCs w:val="32"/>
        </w:rPr>
        <w:t>万元，上升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1.2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%，主要是</w:t>
      </w:r>
      <w:r>
        <w:rPr>
          <w:rFonts w:hint="eastAsia" w:eastAsia="仿宋_GB2312"/>
          <w:sz w:val="32"/>
          <w:szCs w:val="32"/>
          <w:lang w:eastAsia="zh-CN"/>
        </w:rPr>
        <w:t>本年度各种保险系统升级，参加各种培训的差旅费支出增加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  <w:lang w:val="en-US" w:eastAsia="zh-CN"/>
        </w:rPr>
        <w:t>2021</w:t>
      </w:r>
      <w:r>
        <w:rPr>
          <w:rFonts w:eastAsia="仿宋_GB2312"/>
          <w:sz w:val="32"/>
          <w:szCs w:val="32"/>
        </w:rPr>
        <w:t>年本部门“三公”经费预算数为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4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4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万元（其中，公务用车购置费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 万元，公务用车运行费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 万元），因公出国（境）费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val="en-US" w:eastAsia="zh-CN"/>
        </w:rPr>
        <w:t>2021</w:t>
      </w:r>
      <w:r>
        <w:rPr>
          <w:rFonts w:eastAsia="仿宋_GB2312"/>
          <w:sz w:val="32"/>
          <w:szCs w:val="32"/>
        </w:rPr>
        <w:t>年“三公”经费预算较2020年持平。</w:t>
      </w:r>
    </w:p>
    <w:p>
      <w:pPr>
        <w:widowControl/>
        <w:spacing w:line="600" w:lineRule="exact"/>
        <w:ind w:firstLine="660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2021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kern w:val="0"/>
          <w:sz w:val="32"/>
          <w:szCs w:val="32"/>
        </w:rPr>
        <w:t>人；培训费预算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kern w:val="0"/>
          <w:sz w:val="32"/>
          <w:szCs w:val="32"/>
        </w:rPr>
        <w:t>人；拟举办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等节庆、晚会、论坛、赛事活动，经费预算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  <w:lang w:val="en-US" w:eastAsia="zh-CN"/>
        </w:rPr>
        <w:t>2021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截至2020年12月底，本部门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2021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2021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9000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9000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支出。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numPr>
          <w:ilvl w:val="0"/>
          <w:numId w:val="2"/>
        </w:numPr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bCs/>
          <w:kern w:val="0"/>
          <w:sz w:val="36"/>
          <w:szCs w:val="36"/>
        </w:rPr>
        <w:t>年部门预算表</w:t>
      </w:r>
    </w:p>
    <w:p>
      <w:pPr>
        <w:widowControl/>
        <w:numPr>
          <w:numId w:val="0"/>
        </w:numPr>
        <w:spacing w:line="600" w:lineRule="exact"/>
        <w:jc w:val="both"/>
        <w:rPr>
          <w:rFonts w:hint="eastAsia" w:eastAsia="方正小标宋_GBK"/>
          <w:bCs/>
          <w:kern w:val="0"/>
          <w:sz w:val="36"/>
          <w:szCs w:val="36"/>
          <w:lang w:val="en-US" w:eastAsia="zh-CN"/>
        </w:rPr>
      </w:pP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 xml:space="preserve">  </w:t>
      </w:r>
    </w:p>
    <w:p>
      <w:pPr>
        <w:widowControl/>
        <w:numPr>
          <w:numId w:val="0"/>
        </w:numPr>
        <w:spacing w:line="600" w:lineRule="exact"/>
        <w:jc w:val="both"/>
        <w:rPr>
          <w:rFonts w:hint="eastAsia" w:eastAsia="方正小标宋_GBK"/>
          <w:bCs/>
          <w:kern w:val="0"/>
          <w:sz w:val="36"/>
          <w:szCs w:val="36"/>
          <w:lang w:val="en-US" w:eastAsia="zh-CN"/>
        </w:rPr>
      </w:pPr>
    </w:p>
    <w:p>
      <w:pPr>
        <w:widowControl/>
        <w:spacing w:line="600" w:lineRule="exact"/>
        <w:ind w:firstLine="66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 xml:space="preserve">                 </w:t>
      </w:r>
    </w:p>
    <w:p>
      <w:pPr>
        <w:widowControl/>
        <w:spacing w:line="600" w:lineRule="exact"/>
        <w:ind w:firstLine="66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回龙圩管理区社保医保管理中心</w:t>
      </w:r>
    </w:p>
    <w:p>
      <w:pPr>
        <w:widowControl/>
        <w:spacing w:line="600" w:lineRule="exact"/>
        <w:ind w:firstLine="66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2021年9月25日</w:t>
      </w:r>
    </w:p>
    <w:p>
      <w:pPr>
        <w:widowControl/>
        <w:numPr>
          <w:numId w:val="0"/>
        </w:numPr>
        <w:spacing w:line="600" w:lineRule="exact"/>
        <w:jc w:val="both"/>
        <w:rPr>
          <w:rFonts w:eastAsia="方正小标宋_GBK"/>
          <w:bCs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C9E81A"/>
    <w:multiLevelType w:val="singleLevel"/>
    <w:tmpl w:val="D6C9E81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9EC44BA"/>
    <w:multiLevelType w:val="singleLevel"/>
    <w:tmpl w:val="D9EC44BA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C24B7"/>
    <w:rsid w:val="02251F56"/>
    <w:rsid w:val="024B7893"/>
    <w:rsid w:val="027749E1"/>
    <w:rsid w:val="030833CB"/>
    <w:rsid w:val="037A226D"/>
    <w:rsid w:val="05D7390D"/>
    <w:rsid w:val="06AA2051"/>
    <w:rsid w:val="083E4717"/>
    <w:rsid w:val="097B2388"/>
    <w:rsid w:val="09AF3DAA"/>
    <w:rsid w:val="0C2A4F16"/>
    <w:rsid w:val="0C8203F9"/>
    <w:rsid w:val="0CAF3069"/>
    <w:rsid w:val="0D657360"/>
    <w:rsid w:val="0DB55B53"/>
    <w:rsid w:val="0DB945B1"/>
    <w:rsid w:val="0DBF09E6"/>
    <w:rsid w:val="0DDB01CB"/>
    <w:rsid w:val="0F8047DD"/>
    <w:rsid w:val="11646758"/>
    <w:rsid w:val="11C34DDC"/>
    <w:rsid w:val="12366F12"/>
    <w:rsid w:val="12442B3B"/>
    <w:rsid w:val="12D116CF"/>
    <w:rsid w:val="12F249F9"/>
    <w:rsid w:val="133A76FA"/>
    <w:rsid w:val="14A6192D"/>
    <w:rsid w:val="14BE6910"/>
    <w:rsid w:val="14ED3950"/>
    <w:rsid w:val="15E749D1"/>
    <w:rsid w:val="16234C38"/>
    <w:rsid w:val="16F51CAB"/>
    <w:rsid w:val="176D75C1"/>
    <w:rsid w:val="17DC529B"/>
    <w:rsid w:val="18BC5BF7"/>
    <w:rsid w:val="196734ED"/>
    <w:rsid w:val="19A6600F"/>
    <w:rsid w:val="1A9F2194"/>
    <w:rsid w:val="1B11768E"/>
    <w:rsid w:val="1BCF358C"/>
    <w:rsid w:val="1EB922DD"/>
    <w:rsid w:val="1EF77D96"/>
    <w:rsid w:val="216A706B"/>
    <w:rsid w:val="21BA6657"/>
    <w:rsid w:val="21F272E0"/>
    <w:rsid w:val="23940B56"/>
    <w:rsid w:val="23C15F24"/>
    <w:rsid w:val="23E965B6"/>
    <w:rsid w:val="24294657"/>
    <w:rsid w:val="253B28E9"/>
    <w:rsid w:val="257810DE"/>
    <w:rsid w:val="25D303B1"/>
    <w:rsid w:val="2608400C"/>
    <w:rsid w:val="288F7618"/>
    <w:rsid w:val="296207F0"/>
    <w:rsid w:val="29E97C76"/>
    <w:rsid w:val="2A363DB9"/>
    <w:rsid w:val="2DF554AD"/>
    <w:rsid w:val="302813A9"/>
    <w:rsid w:val="30457709"/>
    <w:rsid w:val="31194F5C"/>
    <w:rsid w:val="321E03DD"/>
    <w:rsid w:val="35060F63"/>
    <w:rsid w:val="38513AA8"/>
    <w:rsid w:val="397B3229"/>
    <w:rsid w:val="39AA47DA"/>
    <w:rsid w:val="39B0199F"/>
    <w:rsid w:val="3C632F7D"/>
    <w:rsid w:val="3D3254BB"/>
    <w:rsid w:val="3EC8114A"/>
    <w:rsid w:val="41015BFC"/>
    <w:rsid w:val="4216550A"/>
    <w:rsid w:val="422C0371"/>
    <w:rsid w:val="42377E0A"/>
    <w:rsid w:val="433D53AB"/>
    <w:rsid w:val="437E3838"/>
    <w:rsid w:val="44DC7851"/>
    <w:rsid w:val="458D02E3"/>
    <w:rsid w:val="46473BA5"/>
    <w:rsid w:val="472E3639"/>
    <w:rsid w:val="49233B9A"/>
    <w:rsid w:val="494B5154"/>
    <w:rsid w:val="4AD67D44"/>
    <w:rsid w:val="4BE3443B"/>
    <w:rsid w:val="4C391DC0"/>
    <w:rsid w:val="4C6F6B79"/>
    <w:rsid w:val="4E3141A2"/>
    <w:rsid w:val="4E944EE9"/>
    <w:rsid w:val="4F814FA4"/>
    <w:rsid w:val="4FF85B8D"/>
    <w:rsid w:val="510675A9"/>
    <w:rsid w:val="510F1640"/>
    <w:rsid w:val="546A22F0"/>
    <w:rsid w:val="54A24EFE"/>
    <w:rsid w:val="54C2517F"/>
    <w:rsid w:val="56C7303B"/>
    <w:rsid w:val="577266B2"/>
    <w:rsid w:val="57C955D9"/>
    <w:rsid w:val="58086497"/>
    <w:rsid w:val="580D20D5"/>
    <w:rsid w:val="587435DA"/>
    <w:rsid w:val="599F39AD"/>
    <w:rsid w:val="59EA7C43"/>
    <w:rsid w:val="5AE16A17"/>
    <w:rsid w:val="5B02493C"/>
    <w:rsid w:val="5B060FC1"/>
    <w:rsid w:val="5C9F379F"/>
    <w:rsid w:val="5D7E2418"/>
    <w:rsid w:val="5DE628E9"/>
    <w:rsid w:val="5E1F54D7"/>
    <w:rsid w:val="5EF84B7A"/>
    <w:rsid w:val="5F9C1BF0"/>
    <w:rsid w:val="61457C9E"/>
    <w:rsid w:val="618D3469"/>
    <w:rsid w:val="63C94947"/>
    <w:rsid w:val="640178DC"/>
    <w:rsid w:val="64096E51"/>
    <w:rsid w:val="64FE5EED"/>
    <w:rsid w:val="655F3910"/>
    <w:rsid w:val="66733DC1"/>
    <w:rsid w:val="66856E2E"/>
    <w:rsid w:val="675D5918"/>
    <w:rsid w:val="6805576B"/>
    <w:rsid w:val="68153AE9"/>
    <w:rsid w:val="683751C7"/>
    <w:rsid w:val="68F053B3"/>
    <w:rsid w:val="6A654B09"/>
    <w:rsid w:val="6ACB0411"/>
    <w:rsid w:val="6BEB0921"/>
    <w:rsid w:val="6C25743C"/>
    <w:rsid w:val="6CA22C80"/>
    <w:rsid w:val="6D085F0F"/>
    <w:rsid w:val="6D233418"/>
    <w:rsid w:val="6E32744D"/>
    <w:rsid w:val="6E5224E4"/>
    <w:rsid w:val="6F7366BD"/>
    <w:rsid w:val="700534D8"/>
    <w:rsid w:val="70993898"/>
    <w:rsid w:val="70C604A3"/>
    <w:rsid w:val="715D46AE"/>
    <w:rsid w:val="71A909D3"/>
    <w:rsid w:val="71CF1BD1"/>
    <w:rsid w:val="71F25185"/>
    <w:rsid w:val="73D64BA3"/>
    <w:rsid w:val="73DD7990"/>
    <w:rsid w:val="76B24BBF"/>
    <w:rsid w:val="76ED2077"/>
    <w:rsid w:val="79255C93"/>
    <w:rsid w:val="799A5AF8"/>
    <w:rsid w:val="7A3D6F67"/>
    <w:rsid w:val="7AD11B14"/>
    <w:rsid w:val="7AF46A7C"/>
    <w:rsid w:val="7BEB1DD2"/>
    <w:rsid w:val="7DE94B00"/>
    <w:rsid w:val="7E50631F"/>
    <w:rsid w:val="7E6E00A8"/>
    <w:rsid w:val="7EBF18F0"/>
    <w:rsid w:val="7F2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Fghji</dc:creator>
  <cp:lastModifiedBy>X3</cp:lastModifiedBy>
  <dcterms:modified xsi:type="dcterms:W3CDTF">2021-10-29T08:12:26Z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B98E7363009E467AA7F25CCCEF64C0F3</vt:lpwstr>
  </property>
</Properties>
</file>