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黑体" w:hAnsi="宋体" w:eastAsia="黑体" w:cs="黑体"/>
          <w:b/>
          <w:kern w:val="0"/>
          <w:sz w:val="36"/>
          <w:szCs w:val="36"/>
          <w:shd w:val="clear" w:color="auto" w:fill="auto"/>
          <w:lang w:val="en-US" w:eastAsia="zh-CN" w:bidi="ar"/>
        </w:rPr>
      </w:pPr>
      <w:r>
        <w:rPr>
          <w:rFonts w:hint="eastAsia" w:ascii="黑体" w:eastAsia="黑体" w:cs="黑体"/>
          <w:b/>
          <w:kern w:val="0"/>
          <w:sz w:val="36"/>
          <w:szCs w:val="36"/>
          <w:shd w:val="clear" w:color="auto" w:fill="auto"/>
          <w:lang w:val="en-US" w:eastAsia="zh-CN" w:bidi="ar"/>
        </w:rPr>
        <w:t>人社局</w:t>
      </w:r>
      <w:r>
        <w:rPr>
          <w:rFonts w:hint="eastAsia" w:ascii="黑体" w:hAnsi="宋体" w:eastAsia="黑体" w:cs="黑体"/>
          <w:b/>
          <w:kern w:val="0"/>
          <w:sz w:val="36"/>
          <w:szCs w:val="36"/>
          <w:shd w:val="clear" w:color="auto" w:fill="auto"/>
          <w:lang w:val="en-US" w:eastAsia="zh-CN" w:bidi="ar"/>
        </w:rPr>
        <w:t>20</w:t>
      </w:r>
      <w:r>
        <w:rPr>
          <w:rFonts w:hint="eastAsia" w:ascii="黑体" w:eastAsia="黑体" w:cs="黑体"/>
          <w:b/>
          <w:kern w:val="0"/>
          <w:sz w:val="36"/>
          <w:szCs w:val="36"/>
          <w:shd w:val="clear" w:color="auto" w:fill="auto"/>
          <w:lang w:val="en-US" w:eastAsia="zh-CN" w:bidi="ar"/>
        </w:rPr>
        <w:t>20</w:t>
      </w:r>
      <w:r>
        <w:rPr>
          <w:rFonts w:hint="eastAsia" w:ascii="黑体" w:hAnsi="宋体" w:eastAsia="黑体" w:cs="黑体"/>
          <w:b/>
          <w:kern w:val="0"/>
          <w:sz w:val="36"/>
          <w:szCs w:val="36"/>
          <w:shd w:val="clear" w:color="auto" w:fill="auto"/>
          <w:lang w:val="en-US" w:eastAsia="zh-CN" w:bidi="ar"/>
        </w:rPr>
        <w:t>年部门预算说明</w:t>
      </w:r>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一、部门基本概况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1、职能职责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（一）贯彻执行国家人力资源和社会保障的政策法规和规章，拟订全</w:t>
      </w:r>
      <w:r>
        <w:rPr>
          <w:rFonts w:hint="eastAsia"/>
          <w:sz w:val="28"/>
          <w:szCs w:val="28"/>
          <w:lang w:eastAsia="zh-CN"/>
        </w:rPr>
        <w:t>区</w:t>
      </w:r>
      <w:r>
        <w:rPr>
          <w:rFonts w:hint="eastAsia"/>
          <w:sz w:val="28"/>
          <w:szCs w:val="28"/>
        </w:rPr>
        <w:t>人力资源和社会保障事业发展规划、改革方案，起草全</w:t>
      </w:r>
      <w:r>
        <w:rPr>
          <w:rFonts w:hint="eastAsia"/>
          <w:sz w:val="28"/>
          <w:szCs w:val="28"/>
          <w:lang w:eastAsia="zh-CN"/>
        </w:rPr>
        <w:t>区</w:t>
      </w:r>
      <w:r>
        <w:rPr>
          <w:rFonts w:hint="eastAsia"/>
          <w:sz w:val="28"/>
          <w:szCs w:val="28"/>
        </w:rPr>
        <w:t>人力资源和社会保障规范性文件，并组织实施和监督检查。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（二）拟订人力资源市场发展规划和人力资源流动政策，规范人力资源市场，促进人力资源合理流动、有效配置，综合管理人力资源市场和流动调配工作，负责人才开发和管理工作。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三）负责促进就业工作，完善公共就业服务体系，拟订就业援助政策措施，负责劳动者的职业培训工作，牵头组织实施高校毕业生就业工作，会同有关部门拟订并落实高技能人才、农村实用人才培养和激励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（四）统筹建立覆盖城乡的社会保障体系，负责养老、失业、医疗、工伤、生育、农村社会保险及补充保险的管理工作；承担社会保险及其补充保险基金的安全监管责任。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（五）负责就业、失业、社会保险基金预测预警和信息引导，拟订应对预案，实施预防、调节和控制，保持就业形势稳定和社会保险基金总体收支平衡。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（六）贯彻执行机关事业单位人员工资收入分配、津补贴政策和企业职工工资收入分配的调控政策、措施，负责全</w:t>
      </w:r>
      <w:r>
        <w:rPr>
          <w:rFonts w:hint="eastAsia"/>
          <w:sz w:val="28"/>
          <w:szCs w:val="28"/>
          <w:lang w:eastAsia="zh-CN"/>
        </w:rPr>
        <w:t>区</w:t>
      </w:r>
      <w:r>
        <w:rPr>
          <w:rFonts w:hint="eastAsia"/>
          <w:sz w:val="28"/>
          <w:szCs w:val="28"/>
        </w:rPr>
        <w:t>政府机关、事业单位工作人员工资、福利待遇的审核、审批工作；贯彻执行机关企事业单位人员福利、工（公）伤和离退休政策。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七）推进事业单位人事制度改革，拟订并组织实施事业单位人员和机关工勤人员管理政策，参与人才管理工作，执行专业技术人员管理和继续教育政策、措施，牵头推进深化职称制度改革工作，负责高层次专业技术人才选拔和培养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w:t>
      </w:r>
      <w:r>
        <w:rPr>
          <w:rFonts w:hint="eastAsia"/>
          <w:sz w:val="28"/>
          <w:szCs w:val="28"/>
          <w:lang w:eastAsia="zh-CN"/>
        </w:rPr>
        <w:t>八</w:t>
      </w:r>
      <w:r>
        <w:rPr>
          <w:rFonts w:hint="eastAsia"/>
          <w:sz w:val="28"/>
          <w:szCs w:val="28"/>
        </w:rPr>
        <w:t>）负责全</w:t>
      </w:r>
      <w:r>
        <w:rPr>
          <w:rFonts w:hint="eastAsia"/>
          <w:sz w:val="28"/>
          <w:szCs w:val="28"/>
          <w:lang w:eastAsia="zh-CN"/>
        </w:rPr>
        <w:t>区</w:t>
      </w:r>
      <w:r>
        <w:rPr>
          <w:rFonts w:hint="eastAsia"/>
          <w:sz w:val="28"/>
          <w:szCs w:val="28"/>
        </w:rPr>
        <w:t>公务员综合管理工作，负责全</w:t>
      </w:r>
      <w:r>
        <w:rPr>
          <w:rFonts w:hint="eastAsia"/>
          <w:sz w:val="28"/>
          <w:szCs w:val="28"/>
          <w:lang w:eastAsia="zh-CN"/>
        </w:rPr>
        <w:t>区</w:t>
      </w:r>
      <w:r>
        <w:rPr>
          <w:rFonts w:hint="eastAsia"/>
          <w:sz w:val="28"/>
          <w:szCs w:val="28"/>
        </w:rPr>
        <w:t>行政机关公务员管理和事业单位参照公务员法管理工作。承办</w:t>
      </w:r>
      <w:r>
        <w:rPr>
          <w:rFonts w:hint="eastAsia"/>
          <w:sz w:val="28"/>
          <w:szCs w:val="28"/>
          <w:lang w:eastAsia="zh-CN"/>
        </w:rPr>
        <w:t>区</w:t>
      </w:r>
      <w:r>
        <w:rPr>
          <w:rFonts w:hint="eastAsia"/>
          <w:sz w:val="28"/>
          <w:szCs w:val="28"/>
        </w:rPr>
        <w:t>政府管理的部分机关事业单位科级领导的行政任免工作。会同有关部门贯彻国家荣誉制度和政府奖励制度。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w:t>
      </w:r>
      <w:r>
        <w:rPr>
          <w:rFonts w:hint="eastAsia"/>
          <w:sz w:val="28"/>
          <w:szCs w:val="28"/>
          <w:lang w:eastAsia="zh-CN"/>
        </w:rPr>
        <w:t>九</w:t>
      </w:r>
      <w:r>
        <w:rPr>
          <w:rFonts w:hint="eastAsia"/>
          <w:sz w:val="28"/>
          <w:szCs w:val="28"/>
        </w:rPr>
        <w:t>）贯彻落实农民工工作相关政策，会同有关部门拟订农民工工作规划并组织实施，协调解决重点难点问题，维护农民工合法权益。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贯彻执行劳动、人事争议调解仲裁制度实施规范和劳动关系政策，完善劳动关系协调机制，实施劳动合同调整的基本规则和劳动合同、集体合同制度的实施规范，组织实施消除非法使用童工政策和女工、未成年工的特殊劳动保护政策，组织实施劳动保障监察，协调劳动者维权工作，依法查处劳动保障监察案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（十二）完成</w:t>
      </w:r>
      <w:r>
        <w:rPr>
          <w:rFonts w:hint="eastAsia"/>
          <w:sz w:val="28"/>
          <w:szCs w:val="28"/>
          <w:lang w:eastAsia="zh-CN"/>
        </w:rPr>
        <w:t>区</w:t>
      </w:r>
      <w:r>
        <w:rPr>
          <w:rFonts w:hint="eastAsia"/>
          <w:sz w:val="28"/>
          <w:szCs w:val="28"/>
        </w:rPr>
        <w:t>委、</w:t>
      </w:r>
      <w:r>
        <w:rPr>
          <w:rFonts w:hint="eastAsia"/>
          <w:sz w:val="28"/>
          <w:szCs w:val="28"/>
          <w:lang w:eastAsia="zh-CN"/>
        </w:rPr>
        <w:t>区</w:t>
      </w:r>
      <w:r>
        <w:rPr>
          <w:rFonts w:hint="eastAsia"/>
          <w:sz w:val="28"/>
          <w:szCs w:val="28"/>
        </w:rPr>
        <w:t>政府交办的其他工作。</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2、机构设置及部门预算单位构成</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根据上述职责任务和人员编制，</w:t>
      </w:r>
      <w:r>
        <w:rPr>
          <w:rFonts w:hint="eastAsia" w:ascii="宋体" w:hAnsi="宋体" w:eastAsia="宋体" w:cs="宋体"/>
          <w:sz w:val="28"/>
          <w:szCs w:val="28"/>
          <w:lang w:eastAsia="zh-CN"/>
        </w:rPr>
        <w:t>区</w:t>
      </w:r>
      <w:r>
        <w:rPr>
          <w:rFonts w:hint="eastAsia" w:ascii="宋体" w:hAnsi="宋体" w:eastAsia="宋体" w:cs="宋体"/>
          <w:sz w:val="28"/>
          <w:szCs w:val="28"/>
        </w:rPr>
        <w:t>人力资源和社会保障局机关设</w:t>
      </w:r>
      <w:r>
        <w:rPr>
          <w:rFonts w:hint="eastAsia" w:ascii="宋体" w:hAnsi="宋体" w:eastAsia="宋体" w:cs="宋体"/>
          <w:sz w:val="28"/>
          <w:szCs w:val="28"/>
          <w:lang w:val="en-US" w:eastAsia="zh-CN"/>
        </w:rPr>
        <w:t>3</w:t>
      </w:r>
      <w:r>
        <w:rPr>
          <w:rFonts w:hint="eastAsia" w:ascii="宋体" w:hAnsi="宋体" w:eastAsia="宋体" w:cs="宋体"/>
          <w:sz w:val="28"/>
          <w:szCs w:val="28"/>
        </w:rPr>
        <w:t>个内设机构。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（一）办公室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负责局机关政务、文电、综合性会议会务、人事、财务、印鉴、档案、政务督办、行政后勤、安全保卫、信访工作；负责本局工作报告、总结、发展规划、年度计划等综合性文件材料草拟及信息调研工作；负责人力资源和社会保障信息化建设。</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cs="宋体"/>
          <w:sz w:val="28"/>
          <w:szCs w:val="28"/>
          <w:lang w:eastAsia="zh-CN"/>
        </w:rPr>
        <w:t>（二）</w:t>
      </w:r>
      <w:r>
        <w:rPr>
          <w:rFonts w:hint="eastAsia" w:ascii="宋体" w:hAnsi="宋体" w:eastAsia="宋体" w:cs="宋体"/>
          <w:sz w:val="28"/>
          <w:szCs w:val="28"/>
        </w:rPr>
        <w:t>公务员与事业单位管理工资福利股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负责全</w:t>
      </w:r>
      <w:r>
        <w:rPr>
          <w:rFonts w:hint="eastAsia" w:ascii="宋体" w:hAnsi="宋体" w:eastAsia="宋体" w:cs="宋体"/>
          <w:sz w:val="28"/>
          <w:szCs w:val="28"/>
          <w:lang w:eastAsia="zh-CN"/>
        </w:rPr>
        <w:t>区</w:t>
      </w:r>
      <w:r>
        <w:rPr>
          <w:rFonts w:hint="eastAsia" w:ascii="宋体" w:hAnsi="宋体" w:eastAsia="宋体" w:cs="宋体"/>
          <w:sz w:val="28"/>
          <w:szCs w:val="28"/>
        </w:rPr>
        <w:t>机关公务员综合管理；按干部管理权限，组织开展非领导职务公务员（含参照公务员法管理人员）录用、考核、奖惩、培训、职务管理、学历管理、辞职辞退、机关事业单位人员流动调配、年报统计等工作；承办法定、委托或授权管理领导人员的人事任免事项；负责公务员奖励表彰等综合管理工作；按干部管理权限，负责人才引进和招聘工作；落实乡土人才计划；负责机关事业单位人事关系监督与管理；负责计划安置军队转业干部的接收、安置及就业、培训、管理服务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负责事业单位人事制度改革、专业技术人员职称评聘管理工作；综合管理全</w:t>
      </w:r>
      <w:r>
        <w:rPr>
          <w:rFonts w:hint="eastAsia" w:ascii="宋体" w:hAnsi="宋体" w:eastAsia="宋体" w:cs="宋体"/>
          <w:sz w:val="28"/>
          <w:szCs w:val="28"/>
          <w:lang w:eastAsia="zh-CN"/>
        </w:rPr>
        <w:t>区</w:t>
      </w:r>
      <w:r>
        <w:rPr>
          <w:rFonts w:hint="eastAsia" w:ascii="宋体" w:hAnsi="宋体" w:eastAsia="宋体" w:cs="宋体"/>
          <w:sz w:val="28"/>
          <w:szCs w:val="28"/>
        </w:rPr>
        <w:t>职称工作，组织实施各类专业技术人员职务聘任制度、专业技术资格评定考试制度和专业技术人员执（职）业资格制度；综合管理事业单位工作人员及机关工勤人员考核、奖惩、辞聘、解聘、年报统计工作；按管理权限，负责事业单位职员职务确定、晋升及管理工作；组织实施专业技术人员继续教育、职员培训工作；综合管理全县专业技术人员的对外交流和国外智力引进工作；组织实施机关事业单位工勤人员的职业技能等级考核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综合管理和指导劳动、人事争议仲裁工作；承办县劳动、人事争议仲裁委员会办公室的日常工作；依法处理劳动、人事争议案件。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负责国家工资政策的执行与监督管理；负责全</w:t>
      </w:r>
      <w:r>
        <w:rPr>
          <w:rFonts w:hint="eastAsia" w:ascii="宋体" w:hAnsi="宋体" w:eastAsia="宋体" w:cs="宋体"/>
          <w:sz w:val="28"/>
          <w:szCs w:val="28"/>
          <w:lang w:eastAsia="zh-CN"/>
        </w:rPr>
        <w:t>区</w:t>
      </w:r>
      <w:r>
        <w:rPr>
          <w:rFonts w:hint="eastAsia" w:ascii="宋体" w:hAnsi="宋体" w:eastAsia="宋体" w:cs="宋体"/>
          <w:sz w:val="28"/>
          <w:szCs w:val="28"/>
        </w:rPr>
        <w:t>机关事业单位工作人员工资、福利、退休管理服务工作；组织实施全</w:t>
      </w:r>
      <w:r>
        <w:rPr>
          <w:rFonts w:hint="eastAsia" w:ascii="宋体" w:hAnsi="宋体" w:eastAsia="宋体" w:cs="宋体"/>
          <w:sz w:val="28"/>
          <w:szCs w:val="28"/>
          <w:lang w:eastAsia="zh-CN"/>
        </w:rPr>
        <w:t>区</w:t>
      </w:r>
      <w:r>
        <w:rPr>
          <w:rFonts w:hint="eastAsia" w:ascii="宋体" w:hAnsi="宋体" w:eastAsia="宋体" w:cs="宋体"/>
          <w:sz w:val="28"/>
          <w:szCs w:val="28"/>
        </w:rPr>
        <w:t>机关事业单位津（补）贴、奖金政策；负责工资年报统计、工资关系接转、机关事业单位工作人员死亡抚恤金和遗属生活困难补助工作；负责机关事业单位工作人员工资调整、工资统发审核、工龄核定及管理工作；负责办理机关事业单位离退休人员增加离退休费工作；贯彻执行企业职工工资收入分配的调控政策和退休审批；负责机关事业单位在职人员的退休审批工作和高级专家延长离退休时间的审批工作；参与医疗、住房制度、养老保险制度改革等工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）劳动就业与社保股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拟订全</w:t>
      </w:r>
      <w:r>
        <w:rPr>
          <w:rFonts w:hint="eastAsia" w:ascii="宋体" w:hAnsi="宋体" w:eastAsia="宋体" w:cs="宋体"/>
          <w:sz w:val="28"/>
          <w:szCs w:val="28"/>
          <w:lang w:eastAsia="zh-CN"/>
        </w:rPr>
        <w:t>区</w:t>
      </w:r>
      <w:r>
        <w:rPr>
          <w:rFonts w:hint="eastAsia" w:ascii="宋体" w:hAnsi="宋体" w:eastAsia="宋体" w:cs="宋体"/>
          <w:sz w:val="28"/>
          <w:szCs w:val="28"/>
        </w:rPr>
        <w:t>城乡就业及劳务开发规划、人力资源市场发展规划及年度计划，组织实施统筹城乡就业政策和农民工政策发展规划；综合管理人力资源市场；指导、监督、管理职业中介机构和劳务经纪人队伍建设；协助开展全</w:t>
      </w:r>
      <w:r>
        <w:rPr>
          <w:rFonts w:hint="eastAsia" w:ascii="宋体" w:hAnsi="宋体" w:eastAsia="宋体" w:cs="宋体"/>
          <w:sz w:val="28"/>
          <w:szCs w:val="28"/>
          <w:lang w:eastAsia="zh-CN"/>
        </w:rPr>
        <w:t>区</w:t>
      </w:r>
      <w:r>
        <w:rPr>
          <w:rFonts w:hint="eastAsia" w:ascii="宋体" w:hAnsi="宋体" w:eastAsia="宋体" w:cs="宋体"/>
          <w:sz w:val="28"/>
          <w:szCs w:val="28"/>
        </w:rPr>
        <w:t>职业技能培训检查及指导工作；负责农村劳动力开发及劳务品牌建设工作；参与协调涉及农民工维权的重大事件；指导、协调做好农民工返乡创业服务工作。</w:t>
      </w:r>
    </w:p>
    <w:p>
      <w:pPr>
        <w:widowControl/>
        <w:ind w:firstLine="627" w:firstLineChars="196"/>
        <w:rPr>
          <w:rFonts w:hint="default" w:ascii="宋体" w:hAnsi="宋体" w:eastAsia="宋体" w:cs="宋体"/>
          <w:sz w:val="28"/>
          <w:szCs w:val="28"/>
          <w:shd w:val="clear" w:color="auto" w:fill="auto"/>
          <w:lang w:val="en-US"/>
        </w:rPr>
      </w:pPr>
      <w:r>
        <w:rPr>
          <w:rFonts w:hint="eastAsia" w:ascii="黑体" w:hAnsi="黑体" w:eastAsia="黑体" w:cs="黑体"/>
          <w:kern w:val="2"/>
          <w:sz w:val="32"/>
          <w:szCs w:val="32"/>
          <w:lang w:eastAsia="zh-CN"/>
        </w:rPr>
        <w:t>二、</w:t>
      </w:r>
      <w:r>
        <w:rPr>
          <w:rFonts w:hint="eastAsia" w:ascii="黑体" w:hAnsi="宋体" w:eastAsia="黑体" w:cs="黑体"/>
          <w:kern w:val="0"/>
          <w:sz w:val="32"/>
          <w:szCs w:val="32"/>
          <w:shd w:val="clear" w:color="auto" w:fill="auto"/>
          <w:lang w:val="en-US" w:eastAsia="zh-CN" w:bidi="ar"/>
        </w:rPr>
        <w:t>部门收支总体情况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default" w:ascii="宋体" w:hAnsi="宋体" w:eastAsia="宋体" w:cs="宋体"/>
          <w:sz w:val="28"/>
          <w:szCs w:val="28"/>
          <w:shd w:val="clear" w:color="auto" w:fill="auto"/>
          <w:lang w:val="en-US"/>
        </w:rPr>
      </w:pPr>
      <w:r>
        <w:rPr>
          <w:rFonts w:hint="eastAsia" w:ascii="宋体" w:hAnsi="宋体" w:eastAsia="宋体" w:cs="宋体"/>
          <w:kern w:val="2"/>
          <w:sz w:val="28"/>
          <w:szCs w:val="28"/>
          <w:shd w:val="clear" w:color="auto" w:fill="auto"/>
          <w:lang w:val="en-US" w:eastAsia="zh-CN" w:bidi="ar"/>
        </w:rPr>
        <w:t>（一）收入预算：20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299</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r>
        <w:rPr>
          <w:rFonts w:hint="eastAsia" w:ascii="宋体" w:hAnsi="宋体" w:eastAsia="宋体" w:cs="宋体"/>
          <w:kern w:val="2"/>
          <w:sz w:val="28"/>
          <w:szCs w:val="28"/>
          <w:shd w:val="clear" w:color="auto" w:fill="auto"/>
          <w:lang w:val="en-US" w:eastAsia="zh-CN" w:bidi="ar"/>
        </w:rPr>
        <w:t>其中，经费拨款</w:t>
      </w:r>
      <w:r>
        <w:rPr>
          <w:rFonts w:hint="eastAsia" w:ascii="宋体" w:hAnsi="宋体" w:cs="宋体"/>
          <w:kern w:val="2"/>
          <w:sz w:val="28"/>
          <w:szCs w:val="28"/>
          <w:shd w:val="clear" w:color="auto" w:fill="auto"/>
          <w:lang w:val="en-US" w:eastAsia="zh-CN" w:bidi="ar"/>
        </w:rPr>
        <w:t>61</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（二）支出预算：20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299万</w:t>
      </w:r>
      <w:r>
        <w:rPr>
          <w:rFonts w:hint="eastAsia" w:ascii="宋体" w:hAnsi="宋体" w:eastAsia="宋体" w:cs="宋体"/>
          <w:kern w:val="2"/>
          <w:sz w:val="28"/>
          <w:szCs w:val="28"/>
          <w:shd w:val="clear" w:color="auto" w:fill="auto"/>
          <w:lang w:val="en-US" w:eastAsia="zh-CN" w:bidi="ar"/>
        </w:rPr>
        <w:t>元，其中（按功能分类说明）</w:t>
      </w:r>
      <w:r>
        <w:rPr>
          <w:rFonts w:hint="eastAsia" w:ascii="宋体" w:hAnsi="宋体" w:cs="宋体"/>
          <w:kern w:val="2"/>
          <w:sz w:val="28"/>
          <w:szCs w:val="28"/>
          <w:shd w:val="clear" w:color="auto" w:fill="auto"/>
          <w:lang w:val="en-US" w:eastAsia="zh-CN" w:bidi="ar"/>
        </w:rPr>
        <w:t>社会保障和就业支出299万元</w:t>
      </w:r>
      <w:r>
        <w:rPr>
          <w:rFonts w:hint="eastAsia" w:ascii="宋体" w:hAnsi="宋体" w:eastAsia="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黑体" w:hAnsi="宋体" w:eastAsia="黑体" w:cs="黑体"/>
          <w:kern w:val="2"/>
          <w:sz w:val="32"/>
          <w:szCs w:val="32"/>
          <w:shd w:val="clear" w:color="auto" w:fill="auto"/>
          <w:lang w:val="en-US" w:eastAsia="zh-CN" w:bidi="ar"/>
        </w:rPr>
      </w:pPr>
      <w:r>
        <w:rPr>
          <w:rFonts w:hint="eastAsia" w:ascii="黑体" w:hAnsi="宋体" w:eastAsia="黑体" w:cs="黑体"/>
          <w:kern w:val="2"/>
          <w:sz w:val="32"/>
          <w:szCs w:val="32"/>
          <w:shd w:val="clear" w:color="auto" w:fill="auto"/>
          <w:lang w:val="en-US" w:eastAsia="zh-CN" w:bidi="ar"/>
        </w:rPr>
        <w:t>三、一般公共预算拨款支出预算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年一般公共预算拨款收入</w:t>
      </w:r>
      <w:r>
        <w:rPr>
          <w:rFonts w:hint="eastAsia" w:ascii="宋体" w:hAnsi="宋体" w:cs="宋体"/>
          <w:kern w:val="2"/>
          <w:sz w:val="28"/>
          <w:szCs w:val="28"/>
          <w:shd w:val="clear" w:color="auto" w:fill="auto"/>
          <w:lang w:val="en-US" w:eastAsia="zh-CN" w:bidi="ar"/>
        </w:rPr>
        <w:t>61</w:t>
      </w:r>
      <w:r>
        <w:rPr>
          <w:rFonts w:hint="eastAsia" w:ascii="宋体" w:hAnsi="宋体" w:eastAsia="宋体" w:cs="宋体"/>
          <w:kern w:val="2"/>
          <w:sz w:val="28"/>
          <w:szCs w:val="28"/>
          <w:shd w:val="clear" w:color="auto" w:fill="auto"/>
          <w:lang w:val="en-US" w:eastAsia="zh-CN" w:bidi="ar"/>
        </w:rPr>
        <w:t>万元，具体安排情况如下：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基本支出：20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年基本支出年初预算数为</w:t>
      </w:r>
      <w:r>
        <w:rPr>
          <w:rFonts w:hint="eastAsia" w:ascii="宋体" w:hAnsi="宋体" w:cs="宋体"/>
          <w:kern w:val="2"/>
          <w:sz w:val="28"/>
          <w:szCs w:val="28"/>
          <w:shd w:val="clear" w:color="auto" w:fill="auto"/>
          <w:lang w:val="en-US" w:eastAsia="zh-CN" w:bidi="ar"/>
        </w:rPr>
        <w:t>61</w:t>
      </w:r>
      <w:r>
        <w:rPr>
          <w:rFonts w:hint="eastAsia" w:ascii="宋体" w:hAnsi="宋体" w:eastAsia="宋体" w:cs="宋体"/>
          <w:kern w:val="2"/>
          <w:sz w:val="28"/>
          <w:szCs w:val="28"/>
          <w:shd w:val="clear" w:color="auto" w:fill="auto"/>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numPr>
          <w:ilvl w:val="0"/>
          <w:numId w:val="2"/>
        </w:numPr>
        <w:suppressLineNumbers w:val="0"/>
        <w:spacing w:before="0" w:beforeAutospacing="0" w:after="0" w:afterAutospacing="0" w:line="600" w:lineRule="atLeast"/>
        <w:ind w:right="0" w:rightChars="0" w:firstLine="640" w:firstLineChars="200"/>
        <w:jc w:val="left"/>
        <w:rPr>
          <w:rFonts w:hint="eastAsia" w:ascii="宋体" w:hAnsi="宋体" w:eastAsia="宋体" w:cs="宋体"/>
          <w:sz w:val="28"/>
          <w:szCs w:val="28"/>
          <w:shd w:val="clear" w:color="auto" w:fill="auto"/>
        </w:rPr>
      </w:pPr>
      <w:r>
        <w:rPr>
          <w:rFonts w:hint="eastAsia" w:ascii="黑体" w:hAnsi="宋体" w:eastAsia="黑体" w:cs="黑体"/>
          <w:kern w:val="2"/>
          <w:sz w:val="32"/>
          <w:szCs w:val="32"/>
          <w:shd w:val="clear" w:color="auto" w:fill="auto"/>
          <w:lang w:val="en-US" w:eastAsia="zh-CN" w:bidi="ar"/>
        </w:rPr>
        <w:t>其他重要事项的情况说明</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1、机关运行经费</w:t>
      </w:r>
    </w:p>
    <w:p>
      <w:pPr>
        <w:keepNext w:val="0"/>
        <w:keepLines w:val="0"/>
        <w:widowControl/>
        <w:suppressLineNumbers w:val="0"/>
        <w:spacing w:before="0" w:beforeAutospacing="0" w:after="0" w:afterAutospacing="0" w:line="600" w:lineRule="exact"/>
        <w:ind w:right="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年机关运行经费当年一般公共预算拨款</w:t>
      </w:r>
      <w:r>
        <w:rPr>
          <w:rFonts w:hint="eastAsia" w:ascii="宋体" w:hAnsi="宋体" w:cs="宋体"/>
          <w:kern w:val="2"/>
          <w:sz w:val="28"/>
          <w:szCs w:val="28"/>
          <w:shd w:val="clear" w:color="auto" w:fill="auto"/>
          <w:lang w:val="en-US" w:eastAsia="zh-CN" w:bidi="ar"/>
        </w:rPr>
        <w:t>17</w:t>
      </w:r>
      <w:bookmarkStart w:id="0" w:name="_GoBack"/>
      <w:bookmarkEnd w:id="0"/>
      <w:r>
        <w:rPr>
          <w:rFonts w:hint="eastAsia" w:ascii="宋体" w:hAnsi="宋体" w:eastAsia="宋体" w:cs="宋体"/>
          <w:kern w:val="2"/>
          <w:sz w:val="28"/>
          <w:szCs w:val="28"/>
          <w:shd w:val="clear" w:color="auto" w:fill="auto"/>
          <w:lang w:val="en-US" w:eastAsia="zh-CN" w:bidi="ar"/>
        </w:rPr>
        <w:t>万元。</w:t>
      </w:r>
    </w:p>
    <w:p>
      <w:pPr>
        <w:keepNext w:val="0"/>
        <w:keepLines w:val="0"/>
        <w:widowControl/>
        <w:suppressLineNumbers w:val="0"/>
        <w:spacing w:before="0" w:beforeAutospacing="0" w:after="0" w:afterAutospacing="0" w:line="600" w:lineRule="exac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五、名词解释</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12C3"/>
    <w:multiLevelType w:val="singleLevel"/>
    <w:tmpl w:val="033C12C3"/>
    <w:lvl w:ilvl="0" w:tentative="0">
      <w:start w:val="1"/>
      <w:numFmt w:val="chineseCounting"/>
      <w:suff w:val="nothing"/>
      <w:lvlText w:val="（%1）"/>
      <w:lvlJc w:val="left"/>
      <w:rPr>
        <w:rFonts w:hint="eastAsia"/>
      </w:rPr>
    </w:lvl>
  </w:abstractNum>
  <w:abstractNum w:abstractNumId="1">
    <w:nsid w:val="5225D52A"/>
    <w:multiLevelType w:val="singleLevel"/>
    <w:tmpl w:val="5225D52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4A28"/>
    <w:rsid w:val="02550AAD"/>
    <w:rsid w:val="07B0167F"/>
    <w:rsid w:val="0A1B7442"/>
    <w:rsid w:val="112430F1"/>
    <w:rsid w:val="11D84553"/>
    <w:rsid w:val="13AD07BA"/>
    <w:rsid w:val="163736AC"/>
    <w:rsid w:val="17581AC5"/>
    <w:rsid w:val="184423B4"/>
    <w:rsid w:val="1A4713E9"/>
    <w:rsid w:val="1B262018"/>
    <w:rsid w:val="1D0624F9"/>
    <w:rsid w:val="201E2022"/>
    <w:rsid w:val="21255A01"/>
    <w:rsid w:val="25891BF6"/>
    <w:rsid w:val="2C0633E0"/>
    <w:rsid w:val="30BE14AC"/>
    <w:rsid w:val="316962FF"/>
    <w:rsid w:val="33666F9C"/>
    <w:rsid w:val="3D4A253C"/>
    <w:rsid w:val="3DCA36E3"/>
    <w:rsid w:val="453E2417"/>
    <w:rsid w:val="4574302D"/>
    <w:rsid w:val="46B6304C"/>
    <w:rsid w:val="4A27700A"/>
    <w:rsid w:val="4C0A4C67"/>
    <w:rsid w:val="4C16014B"/>
    <w:rsid w:val="4C775918"/>
    <w:rsid w:val="4FB76256"/>
    <w:rsid w:val="52F86729"/>
    <w:rsid w:val="52FB78E1"/>
    <w:rsid w:val="560A4729"/>
    <w:rsid w:val="5BE43FBA"/>
    <w:rsid w:val="5F3F62CB"/>
    <w:rsid w:val="68C0653E"/>
    <w:rsid w:val="6C3A31F9"/>
    <w:rsid w:val="6DFB3F59"/>
    <w:rsid w:val="6E402E0A"/>
    <w:rsid w:val="6E9F34C9"/>
    <w:rsid w:val="6F7F5FAC"/>
    <w:rsid w:val="6F9A6FBD"/>
    <w:rsid w:val="6FF46F11"/>
    <w:rsid w:val="777659E4"/>
    <w:rsid w:val="7777193D"/>
    <w:rsid w:val="78E9162B"/>
    <w:rsid w:val="7A773B19"/>
    <w:rsid w:val="7F624D4D"/>
    <w:rsid w:val="7F78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0"/>
    <w:rPr>
      <w:b/>
      <w:bCs/>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paragraph" w:styleId="9">
    <w:name w:val="List Paragraph"/>
    <w:basedOn w:val="1"/>
    <w:unhideWhenUsed/>
    <w:qFormat/>
    <w:uiPriority w:val="99"/>
    <w:pPr>
      <w:ind w:firstLine="420" w:firstLineChars="200"/>
    </w:pPr>
    <w:rPr>
      <w:rFonts w:ascii="Calibri" w:hAnsi="Calibri" w:cs="Times New Roman"/>
    </w:rPr>
  </w:style>
  <w:style w:type="character" w:customStyle="1" w:styleId="10">
    <w:name w:val="16"/>
    <w:basedOn w:val="5"/>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Fghji</cp:lastModifiedBy>
  <cp:lastPrinted>2019-09-03T01:21:00Z</cp:lastPrinted>
  <dcterms:modified xsi:type="dcterms:W3CDTF">2020-08-24T08:59:43Z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