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right="0"/>
        <w:jc w:val="center"/>
        <w:rPr>
          <w:rFonts w:hint="eastAsia" w:ascii="黑体" w:hAnsi="宋体" w:eastAsia="黑体" w:cs="黑体"/>
          <w:b/>
          <w:kern w:val="0"/>
          <w:sz w:val="36"/>
          <w:szCs w:val="36"/>
          <w:shd w:val="clear" w:color="auto" w:fill="auto"/>
          <w:lang w:val="en-US" w:eastAsia="zh-CN" w:bidi="ar"/>
        </w:rPr>
      </w:pPr>
      <w:r>
        <w:rPr>
          <w:rFonts w:hint="eastAsia" w:ascii="黑体" w:eastAsia="黑体" w:cs="黑体"/>
          <w:b/>
          <w:kern w:val="0"/>
          <w:sz w:val="36"/>
          <w:szCs w:val="36"/>
          <w:shd w:val="clear" w:color="auto" w:fill="auto"/>
          <w:lang w:val="en-US" w:eastAsia="zh-CN" w:bidi="ar"/>
        </w:rPr>
        <w:t>卫计委</w:t>
      </w:r>
      <w:r>
        <w:rPr>
          <w:rFonts w:hint="eastAsia" w:ascii="黑体" w:hAnsi="宋体" w:eastAsia="黑体" w:cs="黑体"/>
          <w:b/>
          <w:kern w:val="0"/>
          <w:sz w:val="36"/>
          <w:szCs w:val="36"/>
          <w:shd w:val="clear" w:color="auto" w:fill="auto"/>
          <w:lang w:val="en-US" w:eastAsia="zh-CN" w:bidi="ar"/>
        </w:rPr>
        <w:t>20</w:t>
      </w:r>
      <w:r>
        <w:rPr>
          <w:rFonts w:hint="eastAsia" w:ascii="黑体" w:eastAsia="黑体" w:cs="黑体"/>
          <w:b/>
          <w:kern w:val="0"/>
          <w:sz w:val="36"/>
          <w:szCs w:val="36"/>
          <w:shd w:val="clear" w:color="auto" w:fill="auto"/>
          <w:lang w:val="en-US" w:eastAsia="zh-CN" w:bidi="ar"/>
        </w:rPr>
        <w:t>20</w:t>
      </w:r>
      <w:r>
        <w:rPr>
          <w:rFonts w:hint="eastAsia" w:ascii="黑体" w:hAnsi="宋体" w:eastAsia="黑体" w:cs="黑体"/>
          <w:b/>
          <w:kern w:val="0"/>
          <w:sz w:val="36"/>
          <w:szCs w:val="36"/>
          <w:shd w:val="clear" w:color="auto" w:fill="auto"/>
          <w:lang w:val="en-US" w:eastAsia="zh-CN" w:bidi="ar"/>
        </w:rPr>
        <w:t>年部门预算说明</w:t>
      </w:r>
    </w:p>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shd w:val="clear" w:color="auto" w:fill="auto"/>
        </w:rPr>
      </w:pPr>
      <w:r>
        <w:rPr>
          <w:rFonts w:hint="eastAsia" w:ascii="黑体" w:hAnsi="宋体" w:eastAsia="黑体" w:cs="黑体"/>
          <w:kern w:val="0"/>
          <w:sz w:val="32"/>
          <w:szCs w:val="32"/>
          <w:shd w:val="clear" w:color="auto" w:fill="auto"/>
          <w:lang w:val="en-US" w:eastAsia="zh-CN" w:bidi="ar"/>
        </w:rPr>
        <w:t>一、部门基本概况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1、职能职责</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一）贯彻执行有关卫生和计划生育的法律、法规、规章和方针政策，拟订全区卫生和计划生育发展规划，统筹协调推进全区医药卫生体制改革和医疗保障，统筹规划全区卫生和计划生育服务资源配置，指导区域卫生和计划生育规划的编制和实施。</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二）负责疾病预防控制工作，协调有关部门对重大疾病实施防控与干预，组织实施免疫规划工作。制定卫生应急和紧急医学救援预案、突发公共卫生事件监测和风险评估计划，组织和指导突发公共卫生事件预防控制和各类突发公共事件的医疗卫生救援，发布法定报告传染病疫情信息、突发公共卫生事件应急处置信息。</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三）负责公共卫生综合协调、标准制定及监督检查工作；负责组织开展职责范围内的职业卫生、放射卫生、环境卫生、学校卫生、公共场所卫生、饮用水卫生等相关监测、调查、评估和监督，负责传染病防治监督。负责组织开展食品安全风险监测、评估；负责依法公布、执行食品安全地方标准；参与制定食品安全检验机构资质认定的条件和检验规范。</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四）负责组织拟订并实施基层卫生和计划生育、妇幼卫生发展规划和政策措施，指导全区基层卫生和计划生育、妇幼卫生服务体系建设，推进基本公共卫生和计划生育服务均等化，完善基层运行新机制和乡村医生管理制度。</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sz w:val="28"/>
          <w:szCs w:val="28"/>
        </w:rPr>
      </w:pPr>
      <w:r>
        <w:rPr>
          <w:rFonts w:hint="eastAsia"/>
          <w:sz w:val="28"/>
          <w:szCs w:val="28"/>
          <w:lang w:val="en-US" w:eastAsia="zh-CN"/>
        </w:rPr>
        <w:t>（五）负责医疗机构和医疗服务全行业管理。负责监督实施医疗机构及其医疗服务、医疗技术、医疗质量、医疗安全的管理规范、标准，实施卫生专业技术人员执业规则和服务规范，建立医疗机构医疗服务评价和监督管理体系。</w:t>
      </w:r>
    </w:p>
    <w:p>
      <w:pPr>
        <w:keepNext w:val="0"/>
        <w:keepLines w:val="0"/>
        <w:widowControl/>
        <w:suppressLineNumbers w:val="0"/>
        <w:spacing w:before="0" w:beforeAutospacing="0" w:after="0" w:afterAutospacing="0" w:line="600" w:lineRule="atLeast"/>
        <w:ind w:left="0" w:right="0" w:firstLine="627"/>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2、机构设置及部门预算单位构成</w:t>
      </w:r>
    </w:p>
    <w:p>
      <w:pPr>
        <w:widowControl/>
        <w:ind w:firstLine="548" w:firstLineChars="196"/>
        <w:rPr>
          <w:rFonts w:hint="eastAsia" w:ascii="宋体" w:hAnsi="宋体" w:eastAsia="宋体" w:cs="宋体"/>
          <w:kern w:val="0"/>
          <w:sz w:val="28"/>
          <w:szCs w:val="28"/>
          <w:lang w:val="en-US" w:eastAsia="zh-CN"/>
        </w:rPr>
      </w:pPr>
      <w:r>
        <w:rPr>
          <w:rFonts w:hint="eastAsia" w:ascii="宋体" w:hAnsi="宋体" w:eastAsia="宋体" w:cs="宋体"/>
          <w:sz w:val="28"/>
          <w:szCs w:val="28"/>
        </w:rPr>
        <w:t>回龙圩</w:t>
      </w:r>
      <w:r>
        <w:rPr>
          <w:rFonts w:hint="eastAsia" w:ascii="宋体" w:hAnsi="宋体" w:eastAsia="宋体" w:cs="宋体"/>
          <w:sz w:val="28"/>
          <w:szCs w:val="28"/>
          <w:lang w:eastAsia="zh-CN"/>
        </w:rPr>
        <w:t>管理区卫生和计划生育委员会</w:t>
      </w:r>
      <w:r>
        <w:rPr>
          <w:rFonts w:hint="eastAsia" w:ascii="宋体" w:hAnsi="宋体" w:eastAsia="宋体" w:cs="宋体"/>
          <w:sz w:val="28"/>
          <w:szCs w:val="28"/>
          <w:lang w:val="en-US" w:eastAsia="zh-CN"/>
        </w:rPr>
        <w:t>2016</w:t>
      </w:r>
      <w:r>
        <w:rPr>
          <w:rFonts w:hint="eastAsia" w:ascii="宋体" w:hAnsi="宋体" w:eastAsia="宋体" w:cs="宋体"/>
          <w:sz w:val="28"/>
          <w:szCs w:val="28"/>
        </w:rPr>
        <w:t>年成立，</w:t>
      </w:r>
      <w:r>
        <w:rPr>
          <w:rFonts w:hint="eastAsia" w:ascii="宋体" w:hAnsi="宋体" w:eastAsia="宋体" w:cs="宋体"/>
          <w:kern w:val="0"/>
          <w:sz w:val="28"/>
          <w:szCs w:val="28"/>
          <w:lang w:val="en-US" w:eastAsia="zh-CN"/>
        </w:rPr>
        <w:t>共有9名工作人员，下设计划生育统计股，流动人口股，基层卫生股，家庭发展股4个股室。</w:t>
      </w:r>
    </w:p>
    <w:p>
      <w:pPr>
        <w:widowControl/>
        <w:ind w:firstLine="627" w:firstLineChars="196"/>
        <w:rPr>
          <w:rFonts w:hint="default" w:ascii="宋体" w:hAnsi="宋体" w:eastAsia="宋体" w:cs="宋体"/>
          <w:sz w:val="28"/>
          <w:szCs w:val="28"/>
          <w:shd w:val="clear" w:color="auto" w:fill="auto"/>
          <w:lang w:val="en-US"/>
        </w:rPr>
      </w:pPr>
      <w:r>
        <w:rPr>
          <w:rFonts w:hint="eastAsia" w:ascii="黑体" w:hAnsi="黑体" w:eastAsia="黑体" w:cs="黑体"/>
          <w:kern w:val="2"/>
          <w:sz w:val="32"/>
          <w:szCs w:val="32"/>
          <w:lang w:eastAsia="zh-CN"/>
        </w:rPr>
        <w:t>二、</w:t>
      </w:r>
      <w:r>
        <w:rPr>
          <w:rFonts w:hint="eastAsia" w:ascii="黑体" w:hAnsi="宋体" w:eastAsia="黑体" w:cs="黑体"/>
          <w:kern w:val="0"/>
          <w:sz w:val="32"/>
          <w:szCs w:val="32"/>
          <w:shd w:val="clear" w:color="auto" w:fill="auto"/>
          <w:lang w:val="en-US" w:eastAsia="zh-CN" w:bidi="ar"/>
        </w:rPr>
        <w:t>部门收支总体情况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default" w:ascii="宋体" w:hAnsi="宋体" w:eastAsia="宋体" w:cs="宋体"/>
          <w:sz w:val="28"/>
          <w:szCs w:val="28"/>
          <w:shd w:val="clear" w:color="auto" w:fill="auto"/>
          <w:lang w:val="en-US"/>
        </w:rPr>
      </w:pPr>
      <w:r>
        <w:rPr>
          <w:rFonts w:hint="eastAsia" w:ascii="宋体" w:hAnsi="宋体" w:eastAsia="宋体" w:cs="宋体"/>
          <w:kern w:val="2"/>
          <w:sz w:val="28"/>
          <w:szCs w:val="28"/>
          <w:shd w:val="clear" w:color="auto" w:fill="auto"/>
          <w:lang w:val="en-US" w:eastAsia="zh-CN" w:bidi="ar"/>
        </w:rPr>
        <w:t>（一）收入预算：20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299</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r>
        <w:rPr>
          <w:rFonts w:hint="eastAsia" w:ascii="宋体" w:hAnsi="宋体" w:eastAsia="宋体" w:cs="宋体"/>
          <w:kern w:val="2"/>
          <w:sz w:val="28"/>
          <w:szCs w:val="28"/>
          <w:shd w:val="clear" w:color="auto" w:fill="auto"/>
          <w:lang w:val="en-US" w:eastAsia="zh-CN" w:bidi="ar"/>
        </w:rPr>
        <w:t>其中，经费拨款</w:t>
      </w:r>
      <w:r>
        <w:rPr>
          <w:rFonts w:hint="eastAsia" w:ascii="宋体" w:hAnsi="宋体" w:cs="宋体"/>
          <w:kern w:val="2"/>
          <w:sz w:val="28"/>
          <w:szCs w:val="28"/>
          <w:shd w:val="clear" w:color="auto" w:fill="auto"/>
          <w:lang w:val="en-US" w:eastAsia="zh-CN" w:bidi="ar"/>
        </w:rPr>
        <w:t>179</w:t>
      </w:r>
      <w:r>
        <w:rPr>
          <w:rFonts w:hint="eastAsia" w:ascii="宋体" w:hAnsi="宋体" w:eastAsia="宋体" w:cs="宋体"/>
          <w:kern w:val="2"/>
          <w:sz w:val="28"/>
          <w:szCs w:val="28"/>
          <w:shd w:val="clear" w:color="auto" w:fill="auto"/>
          <w:lang w:val="en-US" w:eastAsia="zh-CN" w:bidi="ar"/>
        </w:rPr>
        <w:t>万元</w:t>
      </w:r>
      <w:r>
        <w:rPr>
          <w:rFonts w:hint="eastAsia" w:ascii="宋体" w:hAnsi="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（二）支出预算：20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年年初预算数</w:t>
      </w:r>
      <w:r>
        <w:rPr>
          <w:rFonts w:hint="eastAsia" w:ascii="宋体" w:hAnsi="宋体" w:cs="宋体"/>
          <w:kern w:val="2"/>
          <w:sz w:val="28"/>
          <w:szCs w:val="28"/>
          <w:shd w:val="clear" w:color="auto" w:fill="auto"/>
          <w:lang w:val="en-US" w:eastAsia="zh-CN" w:bidi="ar"/>
        </w:rPr>
        <w:t>299万</w:t>
      </w:r>
      <w:r>
        <w:rPr>
          <w:rFonts w:hint="eastAsia" w:ascii="宋体" w:hAnsi="宋体" w:eastAsia="宋体" w:cs="宋体"/>
          <w:kern w:val="2"/>
          <w:sz w:val="28"/>
          <w:szCs w:val="28"/>
          <w:shd w:val="clear" w:color="auto" w:fill="auto"/>
          <w:lang w:val="en-US" w:eastAsia="zh-CN" w:bidi="ar"/>
        </w:rPr>
        <w:t>元，其中（按功能分类说明）</w:t>
      </w:r>
      <w:r>
        <w:rPr>
          <w:rFonts w:hint="eastAsia" w:ascii="宋体" w:hAnsi="宋体" w:cs="宋体"/>
          <w:kern w:val="2"/>
          <w:sz w:val="28"/>
          <w:szCs w:val="28"/>
          <w:shd w:val="clear" w:color="auto" w:fill="auto"/>
          <w:lang w:val="en-US" w:eastAsia="zh-CN" w:bidi="ar"/>
        </w:rPr>
        <w:t>卫生健康支出271万元，农林水支出28万元</w:t>
      </w:r>
      <w:r>
        <w:rPr>
          <w:rFonts w:hint="eastAsia" w:ascii="宋体" w:hAnsi="宋体" w:eastAsia="宋体" w:cs="宋体"/>
          <w:kern w:val="2"/>
          <w:sz w:val="28"/>
          <w:szCs w:val="28"/>
          <w:shd w:val="clear" w:color="auto" w:fill="auto"/>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640" w:firstLineChars="200"/>
        <w:jc w:val="left"/>
        <w:textAlignment w:val="auto"/>
        <w:rPr>
          <w:rFonts w:hint="eastAsia" w:ascii="黑体" w:hAnsi="宋体" w:eastAsia="黑体" w:cs="黑体"/>
          <w:kern w:val="2"/>
          <w:sz w:val="32"/>
          <w:szCs w:val="32"/>
          <w:shd w:val="clear" w:color="auto" w:fill="auto"/>
          <w:lang w:val="en-US" w:eastAsia="zh-CN" w:bidi="ar"/>
        </w:rPr>
      </w:pPr>
      <w:r>
        <w:rPr>
          <w:rFonts w:hint="eastAsia" w:ascii="黑体" w:hAnsi="宋体" w:eastAsia="黑体" w:cs="黑体"/>
          <w:kern w:val="2"/>
          <w:sz w:val="32"/>
          <w:szCs w:val="32"/>
          <w:shd w:val="clear" w:color="auto" w:fill="auto"/>
          <w:lang w:val="en-US" w:eastAsia="zh-CN" w:bidi="ar"/>
        </w:rPr>
        <w:t>三、一般公共预算拨款支出预算</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atLeast"/>
        <w:ind w:right="0" w:firstLine="560" w:firstLineChars="200"/>
        <w:jc w:val="left"/>
        <w:textAlignment w:val="auto"/>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年一般公共预算拨款收入</w:t>
      </w:r>
      <w:r>
        <w:rPr>
          <w:rFonts w:hint="eastAsia" w:ascii="宋体" w:hAnsi="宋体" w:cs="宋体"/>
          <w:kern w:val="2"/>
          <w:sz w:val="28"/>
          <w:szCs w:val="28"/>
          <w:shd w:val="clear" w:color="auto" w:fill="auto"/>
          <w:lang w:val="en-US" w:eastAsia="zh-CN" w:bidi="ar"/>
        </w:rPr>
        <w:t>179</w:t>
      </w:r>
      <w:r>
        <w:rPr>
          <w:rFonts w:hint="eastAsia" w:ascii="宋体" w:hAnsi="宋体" w:eastAsia="宋体" w:cs="宋体"/>
          <w:kern w:val="2"/>
          <w:sz w:val="28"/>
          <w:szCs w:val="28"/>
          <w:shd w:val="clear" w:color="auto" w:fill="auto"/>
          <w:lang w:val="en-US" w:eastAsia="zh-CN" w:bidi="ar"/>
        </w:rPr>
        <w:t>万元，具体安排情况如下：</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600" w:lineRule="atLeast"/>
        <w:ind w:right="0" w:rightChars="0" w:firstLine="560" w:firstLineChars="200"/>
        <w:jc w:val="left"/>
        <w:textAlignment w:val="auto"/>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基本支出：20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年基本支出年初预算数为</w:t>
      </w:r>
      <w:r>
        <w:rPr>
          <w:rFonts w:hint="eastAsia" w:ascii="宋体" w:hAnsi="宋体" w:cs="宋体"/>
          <w:kern w:val="2"/>
          <w:sz w:val="28"/>
          <w:szCs w:val="28"/>
          <w:shd w:val="clear" w:color="auto" w:fill="auto"/>
          <w:lang w:val="en-US" w:eastAsia="zh-CN" w:bidi="ar"/>
        </w:rPr>
        <w:t>59</w:t>
      </w:r>
      <w:r>
        <w:rPr>
          <w:rFonts w:hint="eastAsia" w:ascii="宋体" w:hAnsi="宋体" w:eastAsia="宋体" w:cs="宋体"/>
          <w:kern w:val="2"/>
          <w:sz w:val="28"/>
          <w:szCs w:val="28"/>
          <w:shd w:val="clear" w:color="auto" w:fill="auto"/>
          <w:lang w:val="en-US" w:eastAsia="zh-CN" w:bidi="ar"/>
        </w:rPr>
        <w:t>万元，是指为保障单位机构正常运转、完成日常工作任务而发生的各项支出，包括用于基本工资、津贴补贴等人员经费以及办公费、印刷费、水电费、办公设备购置等日常公用经费。</w:t>
      </w:r>
    </w:p>
    <w:p>
      <w:pPr>
        <w:keepNext w:val="0"/>
        <w:keepLines w:val="0"/>
        <w:widowControl/>
        <w:suppressLineNumbers w:val="0"/>
        <w:spacing w:before="0" w:beforeAutospacing="0" w:after="0" w:afterAutospacing="0" w:line="600" w:lineRule="atLeast"/>
        <w:ind w:left="0" w:right="0" w:firstLine="66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（二）项目支出：20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年项目支出年初预算数为</w:t>
      </w:r>
      <w:r>
        <w:rPr>
          <w:rFonts w:hint="eastAsia" w:ascii="宋体" w:hAnsi="宋体" w:cs="宋体"/>
          <w:kern w:val="2"/>
          <w:sz w:val="28"/>
          <w:szCs w:val="28"/>
          <w:shd w:val="clear" w:color="auto" w:fill="auto"/>
          <w:lang w:val="en-US" w:eastAsia="zh-CN" w:bidi="ar"/>
        </w:rPr>
        <w:t>120</w:t>
      </w:r>
      <w:r>
        <w:rPr>
          <w:rFonts w:hint="eastAsia" w:ascii="宋体" w:hAnsi="宋体" w:eastAsia="宋体" w:cs="宋体"/>
          <w:kern w:val="2"/>
          <w:sz w:val="28"/>
          <w:szCs w:val="28"/>
          <w:shd w:val="clear" w:color="auto" w:fill="auto"/>
          <w:lang w:val="en-US" w:eastAsia="zh-CN" w:bidi="ar"/>
        </w:rPr>
        <w:t>万元，是指单位为完成特定行政工作任务或事业发展目标而发生的支出，包括有关业务工作专项和运行维护专项。其中：</w:t>
      </w:r>
      <w:r>
        <w:rPr>
          <w:rFonts w:hint="eastAsia" w:ascii="宋体" w:hAnsi="宋体" w:cs="宋体"/>
          <w:kern w:val="2"/>
          <w:sz w:val="28"/>
          <w:szCs w:val="28"/>
          <w:u w:val="none"/>
          <w:shd w:val="clear" w:color="auto" w:fill="auto"/>
          <w:lang w:val="en-US" w:eastAsia="zh-CN" w:bidi="ar"/>
        </w:rPr>
        <w:t>业务工作</w:t>
      </w:r>
      <w:r>
        <w:rPr>
          <w:rFonts w:hint="eastAsia" w:ascii="宋体" w:hAnsi="宋体" w:eastAsia="宋体" w:cs="宋体"/>
          <w:kern w:val="2"/>
          <w:sz w:val="28"/>
          <w:szCs w:val="28"/>
          <w:shd w:val="clear" w:color="auto" w:fill="auto"/>
          <w:lang w:val="en-US" w:eastAsia="zh-CN" w:bidi="ar"/>
        </w:rPr>
        <w:t>专项支出</w:t>
      </w:r>
      <w:r>
        <w:rPr>
          <w:rFonts w:hint="eastAsia" w:ascii="宋体" w:hAnsi="宋体" w:cs="宋体"/>
          <w:kern w:val="2"/>
          <w:sz w:val="28"/>
          <w:szCs w:val="28"/>
          <w:shd w:val="clear" w:color="auto" w:fill="auto"/>
          <w:lang w:val="en-US" w:eastAsia="zh-CN" w:bidi="ar"/>
        </w:rPr>
        <w:t>120</w:t>
      </w:r>
      <w:r>
        <w:rPr>
          <w:rFonts w:hint="eastAsia" w:ascii="宋体" w:hAnsi="宋体" w:eastAsia="宋体" w:cs="宋体"/>
          <w:kern w:val="2"/>
          <w:sz w:val="28"/>
          <w:szCs w:val="28"/>
          <w:shd w:val="clear" w:color="auto" w:fill="auto"/>
          <w:lang w:val="en-US" w:eastAsia="zh-CN" w:bidi="ar"/>
        </w:rPr>
        <w:t>万元，主要用于</w:t>
      </w:r>
      <w:r>
        <w:rPr>
          <w:rFonts w:hint="eastAsia" w:ascii="宋体" w:hAnsi="宋体" w:cs="宋体"/>
          <w:kern w:val="2"/>
          <w:sz w:val="28"/>
          <w:szCs w:val="28"/>
          <w:shd w:val="clear" w:color="auto" w:fill="auto"/>
          <w:lang w:val="en-US" w:eastAsia="zh-CN" w:bidi="ar"/>
        </w:rPr>
        <w:t>新冠肺炎疫情防控</w:t>
      </w:r>
      <w:r>
        <w:rPr>
          <w:rFonts w:hint="eastAsia" w:ascii="宋体" w:hAnsi="宋体" w:eastAsia="宋体" w:cs="宋体"/>
          <w:kern w:val="2"/>
          <w:sz w:val="28"/>
          <w:szCs w:val="28"/>
          <w:shd w:val="clear" w:color="auto" w:fill="auto"/>
          <w:lang w:val="en-US" w:eastAsia="zh-CN" w:bidi="ar"/>
        </w:rPr>
        <w:t>方面。</w:t>
      </w:r>
    </w:p>
    <w:p>
      <w:pPr>
        <w:keepNext w:val="0"/>
        <w:keepLines w:val="0"/>
        <w:widowControl/>
        <w:numPr>
          <w:ilvl w:val="0"/>
          <w:numId w:val="2"/>
        </w:numPr>
        <w:suppressLineNumbers w:val="0"/>
        <w:spacing w:before="0" w:beforeAutospacing="0" w:after="0" w:afterAutospacing="0" w:line="600" w:lineRule="atLeast"/>
        <w:ind w:right="0" w:rightChars="0" w:firstLine="640" w:firstLineChars="200"/>
        <w:jc w:val="left"/>
        <w:rPr>
          <w:rFonts w:hint="eastAsia" w:ascii="宋体" w:hAnsi="宋体" w:eastAsia="宋体" w:cs="宋体"/>
          <w:sz w:val="28"/>
          <w:szCs w:val="28"/>
          <w:shd w:val="clear" w:color="auto" w:fill="auto"/>
        </w:rPr>
      </w:pPr>
      <w:r>
        <w:rPr>
          <w:rFonts w:hint="eastAsia" w:ascii="黑体" w:hAnsi="宋体" w:eastAsia="黑体" w:cs="黑体"/>
          <w:kern w:val="2"/>
          <w:sz w:val="32"/>
          <w:szCs w:val="32"/>
          <w:shd w:val="clear" w:color="auto" w:fill="auto"/>
          <w:lang w:val="en-US" w:eastAsia="zh-CN" w:bidi="ar"/>
        </w:rPr>
        <w:t>其他重要事项的情况说明</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1、机关运行经费</w:t>
      </w:r>
    </w:p>
    <w:p>
      <w:pPr>
        <w:keepNext w:val="0"/>
        <w:keepLines w:val="0"/>
        <w:widowControl/>
        <w:suppressLineNumbers w:val="0"/>
        <w:spacing w:before="0" w:beforeAutospacing="0" w:after="0" w:afterAutospacing="0" w:line="600" w:lineRule="exact"/>
        <w:ind w:right="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20</w:t>
      </w:r>
      <w:r>
        <w:rPr>
          <w:rFonts w:hint="eastAsia" w:ascii="宋体" w:hAnsi="宋体" w:cs="宋体"/>
          <w:kern w:val="2"/>
          <w:sz w:val="28"/>
          <w:szCs w:val="28"/>
          <w:shd w:val="clear" w:color="auto" w:fill="auto"/>
          <w:lang w:val="en-US" w:eastAsia="zh-CN" w:bidi="ar"/>
        </w:rPr>
        <w:t>20</w:t>
      </w:r>
      <w:r>
        <w:rPr>
          <w:rFonts w:hint="eastAsia" w:ascii="宋体" w:hAnsi="宋体" w:eastAsia="宋体" w:cs="宋体"/>
          <w:kern w:val="2"/>
          <w:sz w:val="28"/>
          <w:szCs w:val="28"/>
          <w:shd w:val="clear" w:color="auto" w:fill="auto"/>
          <w:lang w:val="en-US" w:eastAsia="zh-CN" w:bidi="ar"/>
        </w:rPr>
        <w:t>年机关运行经费当年一般公共预算拨款</w:t>
      </w:r>
      <w:r>
        <w:rPr>
          <w:rFonts w:hint="eastAsia" w:ascii="宋体" w:hAnsi="宋体" w:cs="宋体"/>
          <w:kern w:val="2"/>
          <w:sz w:val="28"/>
          <w:szCs w:val="28"/>
          <w:shd w:val="clear" w:color="auto" w:fill="auto"/>
          <w:lang w:val="en-US" w:eastAsia="zh-CN" w:bidi="ar"/>
        </w:rPr>
        <w:t>41</w:t>
      </w:r>
      <w:bookmarkStart w:id="0" w:name="_GoBack"/>
      <w:bookmarkEnd w:id="0"/>
      <w:r>
        <w:rPr>
          <w:rFonts w:hint="eastAsia" w:ascii="宋体" w:hAnsi="宋体" w:eastAsia="宋体" w:cs="宋体"/>
          <w:kern w:val="2"/>
          <w:sz w:val="28"/>
          <w:szCs w:val="28"/>
          <w:shd w:val="clear" w:color="auto" w:fill="auto"/>
          <w:lang w:val="en-US" w:eastAsia="zh-CN" w:bidi="ar"/>
        </w:rPr>
        <w:t>万元。</w:t>
      </w:r>
    </w:p>
    <w:p>
      <w:pPr>
        <w:keepNext w:val="0"/>
        <w:keepLines w:val="0"/>
        <w:widowControl/>
        <w:suppressLineNumbers w:val="0"/>
        <w:spacing w:before="0" w:beforeAutospacing="0" w:after="0" w:afterAutospacing="0" w:line="600" w:lineRule="exact"/>
        <w:ind w:right="0" w:firstLine="640" w:firstLineChars="200"/>
        <w:jc w:val="left"/>
        <w:rPr>
          <w:shd w:val="clear" w:color="auto" w:fill="auto"/>
        </w:rPr>
      </w:pPr>
      <w:r>
        <w:rPr>
          <w:rFonts w:hint="eastAsia" w:ascii="黑体" w:hAnsi="宋体" w:eastAsia="黑体" w:cs="黑体"/>
          <w:kern w:val="2"/>
          <w:sz w:val="32"/>
          <w:szCs w:val="32"/>
          <w:shd w:val="clear" w:color="auto" w:fill="auto"/>
          <w:lang w:val="en-US" w:eastAsia="zh-CN" w:bidi="ar"/>
        </w:rPr>
        <w:t>五、名词解释</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kern w:val="2"/>
          <w:sz w:val="28"/>
          <w:szCs w:val="28"/>
          <w:shd w:val="clear" w:color="auto" w:fill="auto"/>
          <w:lang w:val="en-US" w:eastAsia="zh-CN" w:bidi="ar"/>
        </w:rPr>
      </w:pPr>
      <w:r>
        <w:rPr>
          <w:rFonts w:hint="eastAsia" w:ascii="宋体" w:hAnsi="宋体" w:eastAsia="宋体" w:cs="宋体"/>
          <w:kern w:val="2"/>
          <w:sz w:val="28"/>
          <w:szCs w:val="28"/>
          <w:shd w:val="clear" w:color="auto" w:fill="auto"/>
          <w:lang w:val="en-US" w:eastAsia="zh-CN" w:bidi="ar"/>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keepNext w:val="0"/>
        <w:keepLines w:val="0"/>
        <w:widowControl/>
        <w:numPr>
          <w:ilvl w:val="0"/>
          <w:numId w:val="0"/>
        </w:numPr>
        <w:suppressLineNumbers w:val="0"/>
        <w:spacing w:before="0" w:beforeAutospacing="0" w:after="0" w:afterAutospacing="0" w:line="600" w:lineRule="atLeast"/>
        <w:ind w:right="0" w:rightChars="0" w:firstLine="560" w:firstLineChars="200"/>
        <w:jc w:val="left"/>
        <w:rPr>
          <w:rFonts w:hint="eastAsia" w:ascii="宋体" w:hAnsi="宋体" w:eastAsia="宋体" w:cs="宋体"/>
          <w:sz w:val="28"/>
          <w:szCs w:val="28"/>
          <w:shd w:val="clear" w:color="auto" w:fill="auto"/>
        </w:rPr>
      </w:pPr>
      <w:r>
        <w:rPr>
          <w:rFonts w:hint="eastAsia" w:ascii="宋体" w:hAnsi="宋体" w:eastAsia="宋体" w:cs="宋体"/>
          <w:kern w:val="2"/>
          <w:sz w:val="28"/>
          <w:szCs w:val="28"/>
          <w:shd w:val="clear" w:color="auto" w:fill="auto"/>
          <w:lang w:val="en-US" w:eastAsia="zh-CN" w:bidi="ar"/>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12C3"/>
    <w:multiLevelType w:val="singleLevel"/>
    <w:tmpl w:val="033C12C3"/>
    <w:lvl w:ilvl="0" w:tentative="0">
      <w:start w:val="1"/>
      <w:numFmt w:val="chineseCounting"/>
      <w:suff w:val="nothing"/>
      <w:lvlText w:val="（%1）"/>
      <w:lvlJc w:val="left"/>
      <w:rPr>
        <w:rFonts w:hint="eastAsia"/>
      </w:rPr>
    </w:lvl>
  </w:abstractNum>
  <w:abstractNum w:abstractNumId="1">
    <w:nsid w:val="5225D52A"/>
    <w:multiLevelType w:val="singleLevel"/>
    <w:tmpl w:val="5225D52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04A28"/>
    <w:rsid w:val="02550AAD"/>
    <w:rsid w:val="040A22AC"/>
    <w:rsid w:val="07B0167F"/>
    <w:rsid w:val="0A1B7442"/>
    <w:rsid w:val="112430F1"/>
    <w:rsid w:val="11D84553"/>
    <w:rsid w:val="13AD07BA"/>
    <w:rsid w:val="163736AC"/>
    <w:rsid w:val="17581AC5"/>
    <w:rsid w:val="184423B4"/>
    <w:rsid w:val="1A4713E9"/>
    <w:rsid w:val="1D0624F9"/>
    <w:rsid w:val="201E2022"/>
    <w:rsid w:val="21255A01"/>
    <w:rsid w:val="25891BF6"/>
    <w:rsid w:val="2C0633E0"/>
    <w:rsid w:val="30BE14AC"/>
    <w:rsid w:val="316962FF"/>
    <w:rsid w:val="33666F9C"/>
    <w:rsid w:val="3D4A253C"/>
    <w:rsid w:val="3DCA36E3"/>
    <w:rsid w:val="453E2417"/>
    <w:rsid w:val="4574302D"/>
    <w:rsid w:val="46B6304C"/>
    <w:rsid w:val="4A27700A"/>
    <w:rsid w:val="4BFD5F67"/>
    <w:rsid w:val="4C0A4C67"/>
    <w:rsid w:val="4C775918"/>
    <w:rsid w:val="4FB76256"/>
    <w:rsid w:val="50E47C91"/>
    <w:rsid w:val="52F86729"/>
    <w:rsid w:val="52FB78E1"/>
    <w:rsid w:val="560A4729"/>
    <w:rsid w:val="5BE43FBA"/>
    <w:rsid w:val="5F3F62CB"/>
    <w:rsid w:val="68C0653E"/>
    <w:rsid w:val="6C3A31F9"/>
    <w:rsid w:val="6DFB3F59"/>
    <w:rsid w:val="6E402E0A"/>
    <w:rsid w:val="6E9F34C9"/>
    <w:rsid w:val="6F7F5FAC"/>
    <w:rsid w:val="6F9A6FBD"/>
    <w:rsid w:val="6FF46F11"/>
    <w:rsid w:val="76A47751"/>
    <w:rsid w:val="777659E4"/>
    <w:rsid w:val="7777193D"/>
    <w:rsid w:val="78E9162B"/>
    <w:rsid w:val="7A773B19"/>
    <w:rsid w:val="7F624D4D"/>
    <w:rsid w:val="7F78129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character" w:styleId="6">
    <w:name w:val="Strong"/>
    <w:qFormat/>
    <w:uiPriority w:val="0"/>
    <w:rPr>
      <w:b/>
      <w:bCs/>
    </w:rPr>
  </w:style>
  <w:style w:type="character" w:styleId="7">
    <w:name w:val="FollowedHyperlink"/>
    <w:basedOn w:val="5"/>
    <w:qFormat/>
    <w:uiPriority w:val="0"/>
    <w:rPr>
      <w:color w:val="333333"/>
      <w:u w:val="none"/>
    </w:rPr>
  </w:style>
  <w:style w:type="character" w:styleId="8">
    <w:name w:val="Hyperlink"/>
    <w:basedOn w:val="5"/>
    <w:qFormat/>
    <w:uiPriority w:val="0"/>
    <w:rPr>
      <w:color w:val="333333"/>
      <w:u w:val="none"/>
    </w:rPr>
  </w:style>
  <w:style w:type="paragraph" w:styleId="9">
    <w:name w:val="List Paragraph"/>
    <w:basedOn w:val="1"/>
    <w:unhideWhenUsed/>
    <w:qFormat/>
    <w:uiPriority w:val="99"/>
    <w:pPr>
      <w:ind w:firstLine="420" w:firstLineChars="200"/>
    </w:pPr>
    <w:rPr>
      <w:rFonts w:ascii="Calibri" w:hAnsi="Calibri" w:cs="Times New Roman"/>
    </w:rPr>
  </w:style>
  <w:style w:type="character" w:customStyle="1" w:styleId="10">
    <w:name w:val="16"/>
    <w:basedOn w:val="5"/>
    <w:qFormat/>
    <w:uiPriority w:val="0"/>
    <w:rPr>
      <w:rFonts w:hint="eastAsia" w:ascii="宋体" w:hAnsi="宋体"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Fghji</cp:lastModifiedBy>
  <cp:lastPrinted>2019-09-03T01:21:00Z</cp:lastPrinted>
  <dcterms:modified xsi:type="dcterms:W3CDTF">2020-08-24T09:18:14Z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