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党政办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2"/>
          <w:szCs w:val="32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完成管理区党政工作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（2）</w:t>
      </w:r>
      <w:r>
        <w:rPr>
          <w:rFonts w:hint="eastAsia" w:ascii="宋体" w:hAnsi="宋体" w:eastAsia="宋体" w:cs="宋体"/>
          <w:sz w:val="28"/>
          <w:szCs w:val="28"/>
        </w:rPr>
        <w:t>完成市委办、市政府办下发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相关业务工作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323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283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323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一般公共服务支出323万元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283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280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万元，是指单位为完成特定行政工作任务或事业发展目标而发生的支出，包括有关业务工作专项和运行维护专项。其中：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业务工作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专项支出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万元，主要用于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政府网站维护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423B4"/>
    <w:rsid w:val="1A4713E9"/>
    <w:rsid w:val="325379FB"/>
    <w:rsid w:val="5BE43FBA"/>
    <w:rsid w:val="777659E4"/>
    <w:rsid w:val="78E91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