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财政局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bookmarkStart w:id="0" w:name="_GoBack"/>
      <w:bookmarkEnd w:id="0"/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年部门预算说明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一、部门基本概况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1、职能职责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  <w:t>组织执行国家、省、市财税方针政策，拟订和执行全区财政制度、改革方案，指导全区财政工作；分析预测全区经济形式；提出运用财税政策实施调控和综合平衡全区财力的建议；贯彻执行有关分配政策。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  <w:t>超草财政、财务、会计管理规范性文件并监督实施。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  <w:t>承担区本级各项财政收支管理的责任。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  <w:t>负责政府非税收入管理。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  <w:t>贯彻执行国库管理制度、国库集中支付制度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  <w:t>制定政府采购制度并监督管理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  <w:t>贯彻执行国家、省和市税收法律 、行政法规政策。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  <w:t>负责审核和汇总编制全区行政事业单位的国有资产管理规章制度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  <w:t>负责办理和监督区财政经济发展支出、区级政府性投资项目的财政拨款。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  <w:t>会同有关部门管理全区财政社会保障、就业及医疗卫生支出，组织实施社会保障资金（基金）的财务管理制度，编制区社会保障预决算草案。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  <w:t>贯彻执行政府内外债务管理政策、制度和办法，防范财政风险。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  <w:t>负责管理全区的会计工作，监督和规范会计行为，组织实施国家统一的会计制度，组织实施会计行政法规规章，负责组织全区会计人员培训和继续教育。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auto"/>
          <w:lang w:eastAsia="zh-CN"/>
        </w:rPr>
        <w:t>（十三）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  <w:t>承办区党委、管委交办的其他事项。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机构设置及部门预算单位构成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auto"/>
        </w:rPr>
        <w:t>回龙圩管理区财政局内设办公室、预算股、国库股、预算绩效评估、工资统发、社保股、教科文卫股、住房公积管理、行政政法、经建股、金融债务股、财政监督、税政法规、非税收入、农业股、企业股、资产管理、乡财局、政府采购、专项资金管理中心、人教、会计股，实行一人多岗一岗多责。</w:t>
      </w:r>
    </w:p>
    <w:p>
      <w:pPr>
        <w:pStyle w:val="3"/>
        <w:spacing w:before="0" w:beforeAutospacing="0" w:after="0" w:afterAutospacing="0" w:line="520" w:lineRule="exact"/>
        <w:ind w:firstLine="640" w:firstLineChars="200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二、</w:t>
      </w: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部门收支总体情况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rightChars="0"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（一）收入预算：20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701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其中，经费拨款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213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（二）支出预算：20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701万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元，其中（按功能分类说明）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一般公共服务支出360万元，自然资源海洋气候等支出28万元，农林水支出293万元，转移性支出20万元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三、一般公共预算拨款支出预算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年一般公共预算拨款收入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439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万元，具体安排情况如下：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基本支出：20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年基本支出年初预算数为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208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（二）项目支出：20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年项目支出年初预算数为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231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万元，是指单位为完成特定行政工作任务或事业发展目标而发生的支出，包括有关业务工作专项和运行维护专项。其中：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业务工作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专项支出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226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万元，主要用于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国库电子化支付系统安装、风电场一期工程国土缴费、农业保险保费补贴区级配套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方面。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四、其他重要事项的情况说明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2019年机关运行经费当年一般公共预算拨款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102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五、名词解释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12C3"/>
    <w:multiLevelType w:val="singleLevel"/>
    <w:tmpl w:val="033C12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DA6D2F3"/>
    <w:multiLevelType w:val="singleLevel"/>
    <w:tmpl w:val="6DA6D2F3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7B28902C"/>
    <w:multiLevelType w:val="singleLevel"/>
    <w:tmpl w:val="7B28902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4A28"/>
    <w:rsid w:val="02550AAD"/>
    <w:rsid w:val="0785419F"/>
    <w:rsid w:val="07B0167F"/>
    <w:rsid w:val="0A1B7442"/>
    <w:rsid w:val="112430F1"/>
    <w:rsid w:val="11D84553"/>
    <w:rsid w:val="13AD07BA"/>
    <w:rsid w:val="163736AC"/>
    <w:rsid w:val="184423B4"/>
    <w:rsid w:val="1A4713E9"/>
    <w:rsid w:val="1D0624F9"/>
    <w:rsid w:val="21255A01"/>
    <w:rsid w:val="256E101F"/>
    <w:rsid w:val="25891BF6"/>
    <w:rsid w:val="2C0633E0"/>
    <w:rsid w:val="30BE14AC"/>
    <w:rsid w:val="316962FF"/>
    <w:rsid w:val="33666F9C"/>
    <w:rsid w:val="3D4A253C"/>
    <w:rsid w:val="453E2417"/>
    <w:rsid w:val="4574302D"/>
    <w:rsid w:val="46B6304C"/>
    <w:rsid w:val="4A27700A"/>
    <w:rsid w:val="4C0A4C67"/>
    <w:rsid w:val="4C775918"/>
    <w:rsid w:val="4FB76256"/>
    <w:rsid w:val="52FB78E1"/>
    <w:rsid w:val="560A4729"/>
    <w:rsid w:val="5BE43FBA"/>
    <w:rsid w:val="68C0653E"/>
    <w:rsid w:val="6DFB3F59"/>
    <w:rsid w:val="6E402E0A"/>
    <w:rsid w:val="6F7F5FAC"/>
    <w:rsid w:val="6F9A6FBD"/>
    <w:rsid w:val="6FF46F11"/>
    <w:rsid w:val="76707148"/>
    <w:rsid w:val="777659E4"/>
    <w:rsid w:val="7777193D"/>
    <w:rsid w:val="78E9162B"/>
    <w:rsid w:val="7A773B19"/>
    <w:rsid w:val="7F624D4D"/>
    <w:rsid w:val="7F781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cs="Times New Roman"/>
    </w:rPr>
  </w:style>
  <w:style w:type="character" w:customStyle="1" w:styleId="10">
    <w:name w:val="16"/>
    <w:basedOn w:val="5"/>
    <w:qFormat/>
    <w:uiPriority w:val="0"/>
    <w:rPr>
      <w:rFonts w:hint="eastAsia"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Fghji</cp:lastModifiedBy>
  <cp:lastPrinted>2019-09-03T01:21:00Z</cp:lastPrinted>
  <dcterms:modified xsi:type="dcterms:W3CDTF">2020-08-24T07:14:18Z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